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56E3" w:rsidRDefault="002A4449" w:rsidP="002A4449">
      <w:pPr>
        <w:jc w:val="center"/>
        <w:rPr>
          <w:b/>
        </w:rPr>
      </w:pPr>
      <w:r w:rsidRPr="002A4449">
        <w:rPr>
          <w:b/>
        </w:rPr>
        <w:t>Введение</w:t>
      </w:r>
    </w:p>
    <w:p w:rsidR="002A5416" w:rsidRPr="002A5416" w:rsidRDefault="002A4449" w:rsidP="002A4449">
      <w:pPr>
        <w:ind w:firstLine="708"/>
      </w:pPr>
      <w:r>
        <w:rPr>
          <w:b/>
        </w:rPr>
        <w:t>Актуальность исследования</w:t>
      </w:r>
      <w:r w:rsidR="008D45FF">
        <w:rPr>
          <w:b/>
        </w:rPr>
        <w:t xml:space="preserve">. </w:t>
      </w:r>
      <w:r w:rsidR="002A5416" w:rsidRPr="002A5416">
        <w:t xml:space="preserve">В </w:t>
      </w:r>
      <w:r w:rsidR="002A5416">
        <w:t xml:space="preserve">настоящее время в </w:t>
      </w:r>
      <w:r w:rsidR="002A5416" w:rsidRPr="002A5416">
        <w:t xml:space="preserve">связи с увеличением продолжительности жизни </w:t>
      </w:r>
      <w:r w:rsidR="002A5416">
        <w:t xml:space="preserve">населения </w:t>
      </w:r>
      <w:r w:rsidR="002A5416" w:rsidRPr="002A5416">
        <w:t xml:space="preserve">и </w:t>
      </w:r>
      <w:r w:rsidR="002A5416">
        <w:t>сокращением</w:t>
      </w:r>
      <w:r w:rsidR="002A5416" w:rsidRPr="002A5416">
        <w:t xml:space="preserve"> доли ревматических болезней </w:t>
      </w:r>
      <w:r w:rsidR="002A5416">
        <w:t>в развитых странах мира увеличивается распространенность</w:t>
      </w:r>
      <w:r w:rsidR="002A5416" w:rsidRPr="002A5416">
        <w:t xml:space="preserve"> дегенерати</w:t>
      </w:r>
      <w:r w:rsidR="002A5416">
        <w:t>вных изменений клапанов сердца (</w:t>
      </w:r>
      <w:r w:rsidR="002A5416" w:rsidRPr="00960D07">
        <w:rPr>
          <w:shd w:val="clear" w:color="auto" w:fill="FFFFFF"/>
          <w:lang w:val="en-US"/>
        </w:rPr>
        <w:t>Elmariah</w:t>
      </w:r>
      <w:r w:rsidR="002A5416" w:rsidRPr="002A5416">
        <w:rPr>
          <w:shd w:val="clear" w:color="auto" w:fill="FFFFFF"/>
        </w:rPr>
        <w:t xml:space="preserve"> </w:t>
      </w:r>
      <w:r w:rsidR="002A5416" w:rsidRPr="00960D07">
        <w:rPr>
          <w:shd w:val="clear" w:color="auto" w:fill="FFFFFF"/>
          <w:lang w:val="en-US"/>
        </w:rPr>
        <w:t>S</w:t>
      </w:r>
      <w:r w:rsidR="002A5416" w:rsidRPr="002A5416">
        <w:rPr>
          <w:shd w:val="clear" w:color="auto" w:fill="FFFFFF"/>
        </w:rPr>
        <w:t xml:space="preserve">., </w:t>
      </w:r>
      <w:r w:rsidR="002A5416" w:rsidRPr="00960D07">
        <w:rPr>
          <w:shd w:val="clear" w:color="auto" w:fill="FFFFFF"/>
          <w:lang w:val="en-US"/>
        </w:rPr>
        <w:t>Mohler</w:t>
      </w:r>
      <w:r w:rsidR="002A5416" w:rsidRPr="002A5416">
        <w:rPr>
          <w:shd w:val="clear" w:color="auto" w:fill="FFFFFF"/>
        </w:rPr>
        <w:t xml:space="preserve"> </w:t>
      </w:r>
      <w:r w:rsidR="002A5416" w:rsidRPr="00960D07">
        <w:rPr>
          <w:shd w:val="clear" w:color="auto" w:fill="FFFFFF"/>
          <w:lang w:val="en-US"/>
        </w:rPr>
        <w:t>E</w:t>
      </w:r>
      <w:r w:rsidR="002A5416" w:rsidRPr="002A5416">
        <w:rPr>
          <w:shd w:val="clear" w:color="auto" w:fill="FFFFFF"/>
        </w:rPr>
        <w:t>.</w:t>
      </w:r>
      <w:r w:rsidR="002A5416" w:rsidRPr="00960D07">
        <w:rPr>
          <w:shd w:val="clear" w:color="auto" w:fill="FFFFFF"/>
          <w:lang w:val="en-US"/>
        </w:rPr>
        <w:t>R</w:t>
      </w:r>
      <w:r w:rsidR="002A5416" w:rsidRPr="002A5416">
        <w:rPr>
          <w:shd w:val="clear" w:color="auto" w:fill="FFFFFF"/>
        </w:rPr>
        <w:t>.</w:t>
      </w:r>
      <w:r w:rsidR="002A5416">
        <w:rPr>
          <w:shd w:val="clear" w:color="auto" w:fill="FFFFFF"/>
        </w:rPr>
        <w:t>, 2010</w:t>
      </w:r>
      <w:r w:rsidR="002A5416">
        <w:t>)</w:t>
      </w:r>
      <w:r w:rsidR="002A5416" w:rsidRPr="002A5416">
        <w:t>.</w:t>
      </w:r>
      <w:r w:rsidR="002A5416">
        <w:t xml:space="preserve"> Одним из наиболее распространенных пороков клапанов </w:t>
      </w:r>
      <w:r w:rsidR="002A5416" w:rsidRPr="009035ED">
        <w:rPr>
          <w:highlight w:val="green"/>
        </w:rPr>
        <w:t>является аортальная недостаточность</w:t>
      </w:r>
      <w:r w:rsidR="002A5416">
        <w:t xml:space="preserve">. Хотя точные данные о частоте регистрации данного порока в современной литературе отсутствуют, но по данным Фрамингемского исследования, </w:t>
      </w:r>
      <w:r w:rsidR="002A5416" w:rsidRPr="002A5416">
        <w:t>хроническ</w:t>
      </w:r>
      <w:r w:rsidR="002A5416">
        <w:t xml:space="preserve">ая аортальная недостаточность была выявлена у </w:t>
      </w:r>
      <w:r w:rsidR="002A5416" w:rsidRPr="002A5416">
        <w:t xml:space="preserve">8,5% женщин </w:t>
      </w:r>
      <w:r w:rsidR="002A5416">
        <w:t xml:space="preserve">и </w:t>
      </w:r>
      <w:r w:rsidR="002A5416" w:rsidRPr="002A5416">
        <w:t>13% мужчин</w:t>
      </w:r>
      <w:r w:rsidR="002A5416">
        <w:t xml:space="preserve"> (Карпова Н.Ю. и др., 2014)</w:t>
      </w:r>
      <w:r w:rsidR="002A5416" w:rsidRPr="002A5416">
        <w:t>.</w:t>
      </w:r>
    </w:p>
    <w:p w:rsidR="00166B4D" w:rsidRDefault="00166B4D" w:rsidP="002A4449">
      <w:pPr>
        <w:ind w:firstLine="708"/>
      </w:pPr>
      <w:r>
        <w:t>Несмотря на некоторые успехи консервативного подхода в лечении пациентов с аортальной недостаточностью</w:t>
      </w:r>
      <w:proofErr w:type="gramStart"/>
      <w:r>
        <w:t>.</w:t>
      </w:r>
      <w:proofErr w:type="gramEnd"/>
      <w:r>
        <w:t xml:space="preserve"> </w:t>
      </w:r>
      <w:proofErr w:type="gramStart"/>
      <w:r>
        <w:t>п</w:t>
      </w:r>
      <w:proofErr w:type="gramEnd"/>
      <w:r>
        <w:t xml:space="preserve">ри тяжелой степени регургитации показано хирургическое лечение. </w:t>
      </w:r>
      <w:r w:rsidR="008D45FF">
        <w:t xml:space="preserve"> </w:t>
      </w:r>
      <w:r>
        <w:t>На сегодняшний день</w:t>
      </w:r>
      <w:r w:rsidR="008D45FF">
        <w:t xml:space="preserve"> </w:t>
      </w:r>
      <w:r>
        <w:t xml:space="preserve">наиболее часто применяемым хирургическим вмешательством по поводу данного порока является </w:t>
      </w:r>
      <w:r w:rsidR="008D45FF">
        <w:t xml:space="preserve">протезирование аортального клапана </w:t>
      </w:r>
      <w:r>
        <w:t>механическим или биологическим протезом</w:t>
      </w:r>
      <w:r w:rsidR="008D45FF">
        <w:t xml:space="preserve"> (Чазов</w:t>
      </w:r>
      <w:r w:rsidR="008D45FF" w:rsidRPr="008D45FF">
        <w:t xml:space="preserve"> </w:t>
      </w:r>
      <w:r w:rsidR="008D45FF">
        <w:t xml:space="preserve">Е.И., 2014). </w:t>
      </w:r>
      <w:proofErr w:type="gramStart"/>
      <w:r>
        <w:t>При этом н</w:t>
      </w:r>
      <w:r w:rsidR="008D45FF">
        <w:t xml:space="preserve">а современном уровне развития </w:t>
      </w:r>
      <w:r>
        <w:t>кардио</w:t>
      </w:r>
      <w:r w:rsidR="008D45FF">
        <w:t>хирурги</w:t>
      </w:r>
      <w:r>
        <w:t>и</w:t>
      </w:r>
      <w:r w:rsidR="008D45FF">
        <w:t xml:space="preserve"> </w:t>
      </w:r>
      <w:r>
        <w:t xml:space="preserve">и анестезиологии </w:t>
      </w:r>
      <w:r w:rsidR="008D45FF">
        <w:t xml:space="preserve">операционная летальность при плановых операциях по поводу изолированной </w:t>
      </w:r>
      <w:r>
        <w:t>недостаточности аортального клапана</w:t>
      </w:r>
      <w:r w:rsidR="008D45FF">
        <w:t xml:space="preserve"> </w:t>
      </w:r>
      <w:r>
        <w:t xml:space="preserve">является довольно низкой и </w:t>
      </w:r>
      <w:r w:rsidR="008D45FF">
        <w:t>не превышает 4%</w:t>
      </w:r>
      <w:r>
        <w:t>, хотя у</w:t>
      </w:r>
      <w:r w:rsidR="008D45FF">
        <w:t xml:space="preserve"> </w:t>
      </w:r>
      <w:r>
        <w:t xml:space="preserve">пациентов пожилого возраста с выраженной коморбидностью, ранее уже перенесших операцию на открытом сердце, она может достигать 26% </w:t>
      </w:r>
      <w:r w:rsidR="008D45FF">
        <w:t>(</w:t>
      </w:r>
      <w:r w:rsidR="008D45FF" w:rsidRPr="005E4E42">
        <w:rPr>
          <w:lang w:val="en-US"/>
        </w:rPr>
        <w:t>Bridgewater</w:t>
      </w:r>
      <w:r w:rsidR="008D45FF" w:rsidRPr="008D45FF">
        <w:t xml:space="preserve"> </w:t>
      </w:r>
      <w:r w:rsidR="008D45FF" w:rsidRPr="005E4E42">
        <w:rPr>
          <w:lang w:val="en-US"/>
        </w:rPr>
        <w:t>B</w:t>
      </w:r>
      <w:r w:rsidR="008D45FF" w:rsidRPr="008D45FF">
        <w:t>.</w:t>
      </w:r>
      <w:r w:rsidR="008D45FF">
        <w:t xml:space="preserve">, 2010). </w:t>
      </w:r>
      <w:proofErr w:type="gramEnd"/>
    </w:p>
    <w:p w:rsidR="00330034" w:rsidRDefault="008D45FF" w:rsidP="002A4449">
      <w:pPr>
        <w:ind w:firstLine="708"/>
      </w:pPr>
      <w:r>
        <w:t xml:space="preserve">В </w:t>
      </w:r>
      <w:r w:rsidR="00166B4D">
        <w:t xml:space="preserve">таких </w:t>
      </w:r>
      <w:r>
        <w:t>случа</w:t>
      </w:r>
      <w:r w:rsidR="00166B4D">
        <w:t>ях, т.е. у пациентов</w:t>
      </w:r>
      <w:r>
        <w:t xml:space="preserve"> высокого хирургического риска в последнее десятилетие с успехом применяется методика транскатетерного протезирования аортального клапана, позволяющая в большинстве случае осуществить полноценную коррекцию данного порока и вошедшая в действующие международные рекомендации по лечению клапанных пороков сердца </w:t>
      </w:r>
      <w:r w:rsidR="000E2659">
        <w:t>(</w:t>
      </w:r>
      <w:r w:rsidR="000E2659" w:rsidRPr="00960D07">
        <w:rPr>
          <w:lang w:val="en-US"/>
        </w:rPr>
        <w:t>EACTS</w:t>
      </w:r>
      <w:r w:rsidR="000E2659">
        <w:t xml:space="preserve">, 2012; </w:t>
      </w:r>
      <w:r w:rsidR="000E2659" w:rsidRPr="000E2659">
        <w:t xml:space="preserve">2014 </w:t>
      </w:r>
      <w:r w:rsidR="000E2659" w:rsidRPr="00960D07">
        <w:rPr>
          <w:lang w:val="en-US"/>
        </w:rPr>
        <w:t>AHA</w:t>
      </w:r>
      <w:r w:rsidR="000E2659" w:rsidRPr="000E2659">
        <w:t>/</w:t>
      </w:r>
      <w:r w:rsidR="000E2659" w:rsidRPr="00960D07">
        <w:rPr>
          <w:lang w:val="en-US"/>
        </w:rPr>
        <w:t>ACC</w:t>
      </w:r>
      <w:r w:rsidR="000E2659" w:rsidRPr="000E2659">
        <w:t xml:space="preserve"> </w:t>
      </w:r>
      <w:r w:rsidR="000E2659" w:rsidRPr="00960D07">
        <w:rPr>
          <w:lang w:val="en-US"/>
        </w:rPr>
        <w:t>Guideline</w:t>
      </w:r>
      <w:r w:rsidR="000E2659">
        <w:t>, 2014)</w:t>
      </w:r>
      <w:r>
        <w:t xml:space="preserve">. </w:t>
      </w:r>
      <w:r w:rsidR="00166B4D">
        <w:t>Следует отметить, что э</w:t>
      </w:r>
      <w:r w:rsidR="00166B4D" w:rsidRPr="00166B4D">
        <w:t xml:space="preserve">ндоваскулярная имплантация аортального клапана </w:t>
      </w:r>
      <w:r w:rsidR="00166B4D">
        <w:t xml:space="preserve">на </w:t>
      </w:r>
      <w:r w:rsidR="00166B4D" w:rsidRPr="00166B4D">
        <w:t>сегодня</w:t>
      </w:r>
      <w:r w:rsidR="00166B4D">
        <w:t xml:space="preserve">шний день </w:t>
      </w:r>
      <w:r w:rsidR="00166B4D">
        <w:lastRenderedPageBreak/>
        <w:t xml:space="preserve">находится пока в стадии </w:t>
      </w:r>
      <w:r w:rsidR="00166B4D" w:rsidRPr="00166B4D">
        <w:t xml:space="preserve"> становлени</w:t>
      </w:r>
      <w:r w:rsidR="00166B4D">
        <w:t>я</w:t>
      </w:r>
      <w:r w:rsidR="00166B4D" w:rsidRPr="00166B4D">
        <w:t xml:space="preserve">. Показания четко не определены и быстро изменяются; </w:t>
      </w:r>
      <w:r w:rsidR="00166B4D">
        <w:t>отсутствуют данные</w:t>
      </w:r>
      <w:r w:rsidR="00166B4D" w:rsidRPr="00166B4D">
        <w:t xml:space="preserve"> крупных рандомизированных исследований; не изучены отдаленные результаты</w:t>
      </w:r>
      <w:r w:rsidR="00330034">
        <w:t xml:space="preserve"> (</w:t>
      </w:r>
      <w:r w:rsidR="00330034" w:rsidRPr="00D0783C">
        <w:t>Бокерия Л.А.</w:t>
      </w:r>
      <w:r w:rsidR="00330034">
        <w:t xml:space="preserve"> и др., 2010)</w:t>
      </w:r>
      <w:r w:rsidR="00166B4D">
        <w:t>. Так,</w:t>
      </w:r>
      <w:r>
        <w:t xml:space="preserve"> </w:t>
      </w:r>
      <w:r w:rsidR="00166B4D">
        <w:t xml:space="preserve">только </w:t>
      </w:r>
      <w:r>
        <w:t xml:space="preserve">в последние годы в литературе стали появляться немногочисленные сообщения об опытах применении </w:t>
      </w:r>
      <w:r w:rsidR="00166B4D">
        <w:t>эндоваскулярного протезирования аортального клапана</w:t>
      </w:r>
      <w:r>
        <w:t xml:space="preserve"> у неоперабельных больных и пациентов крайне в</w:t>
      </w:r>
      <w:r w:rsidR="000E2659">
        <w:t>ысокого хирургического риска (</w:t>
      </w:r>
      <w:r w:rsidR="000E2659" w:rsidRPr="00960D07">
        <w:rPr>
          <w:lang w:val="en-US"/>
        </w:rPr>
        <w:t>D</w:t>
      </w:r>
      <w:r w:rsidR="000E2659" w:rsidRPr="000E2659">
        <w:t>'</w:t>
      </w:r>
      <w:r w:rsidR="000E2659" w:rsidRPr="00960D07">
        <w:rPr>
          <w:lang w:val="en-US"/>
        </w:rPr>
        <w:t>Ancona</w:t>
      </w:r>
      <w:r w:rsidR="000E2659" w:rsidRPr="000E2659">
        <w:t xml:space="preserve"> </w:t>
      </w:r>
      <w:r w:rsidR="000E2659" w:rsidRPr="00960D07">
        <w:rPr>
          <w:lang w:val="en-US"/>
        </w:rPr>
        <w:t>G</w:t>
      </w:r>
      <w:r w:rsidR="000E2659">
        <w:t>.</w:t>
      </w:r>
      <w:r w:rsidR="000E2659" w:rsidRPr="000E2659">
        <w:t xml:space="preserve"> </w:t>
      </w:r>
      <w:r w:rsidR="000E2659" w:rsidRPr="00960D07">
        <w:rPr>
          <w:lang w:val="en-US"/>
        </w:rPr>
        <w:t>et</w:t>
      </w:r>
      <w:r w:rsidR="000E2659" w:rsidRPr="000E2659">
        <w:t xml:space="preserve"> </w:t>
      </w:r>
      <w:r w:rsidR="000E2659" w:rsidRPr="00960D07">
        <w:rPr>
          <w:lang w:val="en-US"/>
        </w:rPr>
        <w:t>al</w:t>
      </w:r>
      <w:r w:rsidR="000E2659" w:rsidRPr="000E2659">
        <w:t>.</w:t>
      </w:r>
      <w:r w:rsidR="000E2659">
        <w:t>, 2012;</w:t>
      </w:r>
      <w:r w:rsidR="000E2659" w:rsidRPr="000E2659">
        <w:t xml:space="preserve"> </w:t>
      </w:r>
      <w:r w:rsidR="000E2659" w:rsidRPr="00960D07">
        <w:rPr>
          <w:lang w:val="en-US"/>
        </w:rPr>
        <w:t>Roy</w:t>
      </w:r>
      <w:r w:rsidR="000E2659" w:rsidRPr="000E2659">
        <w:t xml:space="preserve"> </w:t>
      </w:r>
      <w:r w:rsidR="000E2659" w:rsidRPr="00960D07">
        <w:rPr>
          <w:lang w:val="en-US"/>
        </w:rPr>
        <w:t>D</w:t>
      </w:r>
      <w:r w:rsidR="000E2659">
        <w:t>.</w:t>
      </w:r>
      <w:r w:rsidR="000E2659" w:rsidRPr="00960D07">
        <w:rPr>
          <w:lang w:val="en-US"/>
        </w:rPr>
        <w:t>A</w:t>
      </w:r>
      <w:r w:rsidR="000E2659">
        <w:t>.</w:t>
      </w:r>
      <w:r w:rsidR="000E2659" w:rsidRPr="000E2659">
        <w:t xml:space="preserve"> </w:t>
      </w:r>
      <w:r w:rsidR="000E2659" w:rsidRPr="00960D07">
        <w:rPr>
          <w:lang w:val="en-US"/>
        </w:rPr>
        <w:t>et</w:t>
      </w:r>
      <w:r w:rsidR="000E2659" w:rsidRPr="000E2659">
        <w:t xml:space="preserve"> </w:t>
      </w:r>
      <w:r w:rsidR="000E2659" w:rsidRPr="00960D07">
        <w:rPr>
          <w:lang w:val="en-US"/>
        </w:rPr>
        <w:t>al</w:t>
      </w:r>
      <w:r w:rsidR="000E2659" w:rsidRPr="000E2659">
        <w:t>.</w:t>
      </w:r>
      <w:r w:rsidR="000E2659">
        <w:t>, 2013)</w:t>
      </w:r>
      <w:r>
        <w:t xml:space="preserve">. </w:t>
      </w:r>
      <w:r w:rsidR="00166B4D">
        <w:t xml:space="preserve">При этом упоминается о значительном риске дислокации и эмболизации биопротеза </w:t>
      </w:r>
      <w:r w:rsidR="000E2659">
        <w:t>(</w:t>
      </w:r>
      <w:r w:rsidR="000E2659" w:rsidRPr="00960D07">
        <w:t>Имаев Т.</w:t>
      </w:r>
      <w:r w:rsidR="000E2659">
        <w:t>Э. и др., 2015)</w:t>
      </w:r>
      <w:r>
        <w:t xml:space="preserve">. </w:t>
      </w:r>
      <w:r w:rsidR="00330034">
        <w:t>Это обусловливает необходимость разработки как новых методик эндоваскулярного протезирования аортального клапана, так и новых моделей протезов клапана.</w:t>
      </w:r>
    </w:p>
    <w:p w:rsidR="00330034" w:rsidRDefault="002A5416" w:rsidP="002A4449">
      <w:pPr>
        <w:ind w:firstLine="708"/>
      </w:pPr>
      <w:r w:rsidRPr="002A5416">
        <w:t xml:space="preserve">Все имеющиеся </w:t>
      </w:r>
      <w:r w:rsidR="00330034">
        <w:t>на сегодняшний день п</w:t>
      </w:r>
      <w:r w:rsidRPr="002A5416">
        <w:t xml:space="preserve">ротезы, как механические, так и биологические, имеют определенные конструктивные особенности, клинические преимущества и недостатки, которые могут варьировать в зависимости от производителя и от модели. </w:t>
      </w:r>
      <w:r w:rsidR="00330034">
        <w:t>При этом большое внимание современными исследователями уделяется разработке именно биологических моделей протезов с целью</w:t>
      </w:r>
      <w:r w:rsidRPr="002A5416">
        <w:t xml:space="preserve"> повторени</w:t>
      </w:r>
      <w:r w:rsidR="00330034">
        <w:t>я</w:t>
      </w:r>
      <w:r w:rsidRPr="002A5416">
        <w:t xml:space="preserve"> гемодинамических и физиологических характеристик нативного клапана. Дальнейшее развитие технологий изготовления и изучение отдаленных результатов с позиций доказательной медицины наряду с развитием хирургических технологий, нацеленные на создание биопротезов с более высокой устойчивостью к кальцификации, являются перспективным направлением развития современной кардиохирургии (Борисов И.А. и др., 2012)</w:t>
      </w:r>
      <w:r>
        <w:t xml:space="preserve">. При этом </w:t>
      </w:r>
      <w:r w:rsidRPr="00330034">
        <w:t>стратегия</w:t>
      </w:r>
      <w:r>
        <w:rPr>
          <w:rFonts w:ascii="Arial" w:hAnsi="Arial" w:cs="Arial"/>
          <w:color w:val="000000"/>
          <w:sz w:val="23"/>
          <w:szCs w:val="23"/>
        </w:rPr>
        <w:t xml:space="preserve"> </w:t>
      </w:r>
      <w:r w:rsidRPr="002A5416">
        <w:t>разработки протеза клапана сердца должна быть, по сути, направлена на создание клапана такой формы и из такого материала, которые по характеру своих воздействий на кровоток распознавались бы системой гемостаза пациента как отвечающие нормальным физиологическим значениям. </w:t>
      </w:r>
      <w:r w:rsidR="00330034">
        <w:t xml:space="preserve">С этой точки зрения представляет интерес изучение возможностей </w:t>
      </w:r>
      <w:r w:rsidR="00330034" w:rsidRPr="00330034">
        <w:t xml:space="preserve">эндоваскулярной имплантации </w:t>
      </w:r>
      <w:r w:rsidR="00330034">
        <w:t>к</w:t>
      </w:r>
      <w:r w:rsidR="00330034" w:rsidRPr="00330034">
        <w:t>омбинированн</w:t>
      </w:r>
      <w:r w:rsidR="00330034">
        <w:t>ого</w:t>
      </w:r>
      <w:r w:rsidR="00330034" w:rsidRPr="00330034">
        <w:t xml:space="preserve"> протез</w:t>
      </w:r>
      <w:r w:rsidR="00330034">
        <w:t>а</w:t>
      </w:r>
      <w:r w:rsidR="00330034" w:rsidRPr="00330034">
        <w:t xml:space="preserve"> клапана из нитинола и перикарда животных для и лечения недостаточности аортального клапана</w:t>
      </w:r>
      <w:r w:rsidR="00330034">
        <w:t xml:space="preserve"> в </w:t>
      </w:r>
      <w:r w:rsidR="00330034">
        <w:lastRenderedPageBreak/>
        <w:t>экспериментальных условиях. Это и послужило обоснованием к проведению данного исследования.</w:t>
      </w:r>
    </w:p>
    <w:p w:rsidR="002A4449" w:rsidRDefault="002A4449" w:rsidP="002A4449">
      <w:pPr>
        <w:ind w:firstLine="708"/>
      </w:pPr>
      <w:r>
        <w:rPr>
          <w:b/>
        </w:rPr>
        <w:t>Объект исследования</w:t>
      </w:r>
      <w:r w:rsidR="002F49CC">
        <w:rPr>
          <w:b/>
        </w:rPr>
        <w:t xml:space="preserve"> – </w:t>
      </w:r>
      <w:r w:rsidR="0052575B" w:rsidRPr="0052575B">
        <w:t>хирургическое лечение</w:t>
      </w:r>
      <w:r w:rsidR="0052575B">
        <w:rPr>
          <w:b/>
        </w:rPr>
        <w:t xml:space="preserve"> </w:t>
      </w:r>
      <w:r w:rsidR="002F49CC" w:rsidRPr="002F49CC">
        <w:t>недостаточност</w:t>
      </w:r>
      <w:r w:rsidR="0052575B">
        <w:t>и</w:t>
      </w:r>
      <w:r w:rsidR="002F49CC" w:rsidRPr="002F49CC">
        <w:t xml:space="preserve"> аортального клапана.</w:t>
      </w:r>
    </w:p>
    <w:p w:rsidR="003E2715" w:rsidRPr="002D04B7" w:rsidRDefault="003E2715" w:rsidP="003E2715">
      <w:pPr>
        <w:ind w:firstLine="708"/>
      </w:pPr>
      <w:r>
        <w:rPr>
          <w:b/>
        </w:rPr>
        <w:t xml:space="preserve">Проблема исследования – </w:t>
      </w:r>
      <w:r w:rsidRPr="002D04B7">
        <w:t>на фоне увеличивающейся потребности в протезирован</w:t>
      </w:r>
      <w:proofErr w:type="gramStart"/>
      <w:r w:rsidRPr="002D04B7">
        <w:t>ии ао</w:t>
      </w:r>
      <w:proofErr w:type="gramEnd"/>
      <w:r w:rsidRPr="002D04B7">
        <w:t>ртального клапана возникает необходимость разработки и апробации новых моделей биопротезов.</w:t>
      </w:r>
    </w:p>
    <w:p w:rsidR="002A4449" w:rsidRDefault="002A4449" w:rsidP="002F49CC">
      <w:pPr>
        <w:ind w:firstLine="708"/>
        <w:rPr>
          <w:b/>
        </w:rPr>
      </w:pPr>
      <w:r>
        <w:rPr>
          <w:b/>
        </w:rPr>
        <w:t>Предмет исследования</w:t>
      </w:r>
      <w:r w:rsidR="002F49CC">
        <w:rPr>
          <w:b/>
        </w:rPr>
        <w:t xml:space="preserve"> – </w:t>
      </w:r>
      <w:r w:rsidR="002F49CC">
        <w:t>к</w:t>
      </w:r>
      <w:r w:rsidR="002F49CC" w:rsidRPr="002F49CC">
        <w:t>омбинированный протез клапана из нитинола и перикарда животных для эндоваскулярной имплантации и лечения недостаточности аортального клапана</w:t>
      </w:r>
      <w:r w:rsidR="002F49CC">
        <w:t>.</w:t>
      </w:r>
      <w:r w:rsidR="002F49CC" w:rsidRPr="002F49CC">
        <w:t xml:space="preserve"> </w:t>
      </w:r>
    </w:p>
    <w:p w:rsidR="002A4449" w:rsidRDefault="002A4449" w:rsidP="002F49CC">
      <w:pPr>
        <w:ind w:firstLine="708"/>
        <w:rPr>
          <w:b/>
        </w:rPr>
      </w:pPr>
      <w:r>
        <w:rPr>
          <w:b/>
        </w:rPr>
        <w:t>Цель исследования</w:t>
      </w:r>
      <w:r w:rsidR="002F49CC">
        <w:rPr>
          <w:b/>
        </w:rPr>
        <w:t xml:space="preserve"> </w:t>
      </w:r>
      <w:r w:rsidR="002F49CC" w:rsidRPr="002F49CC">
        <w:t>– изучить в экспериментальных условиях возможности применения</w:t>
      </w:r>
      <w:r w:rsidR="002F49CC">
        <w:rPr>
          <w:b/>
        </w:rPr>
        <w:t xml:space="preserve"> </w:t>
      </w:r>
      <w:r w:rsidR="002F49CC">
        <w:t>к</w:t>
      </w:r>
      <w:r w:rsidR="002F49CC" w:rsidRPr="002F49CC">
        <w:t>омбинированн</w:t>
      </w:r>
      <w:r w:rsidR="002F49CC">
        <w:t>ого</w:t>
      </w:r>
      <w:r w:rsidR="002F49CC" w:rsidRPr="002F49CC">
        <w:t xml:space="preserve"> протез</w:t>
      </w:r>
      <w:r w:rsidR="002F49CC">
        <w:t>а</w:t>
      </w:r>
      <w:r w:rsidR="002F49CC" w:rsidRPr="002F49CC">
        <w:t xml:space="preserve"> клапана из нитинола и перикарда животных для эндоваскулярной имплантации и лечения недостаточности аортального клапана</w:t>
      </w:r>
      <w:r w:rsidR="002F49CC">
        <w:t>.</w:t>
      </w:r>
    </w:p>
    <w:p w:rsidR="002A4449" w:rsidRDefault="002A4449" w:rsidP="002F49CC">
      <w:pPr>
        <w:ind w:firstLine="708"/>
        <w:rPr>
          <w:b/>
        </w:rPr>
      </w:pPr>
      <w:r>
        <w:rPr>
          <w:b/>
        </w:rPr>
        <w:t>Задачи исследования</w:t>
      </w:r>
      <w:r w:rsidR="002F49CC">
        <w:rPr>
          <w:b/>
        </w:rPr>
        <w:t>:</w:t>
      </w:r>
    </w:p>
    <w:p w:rsidR="002F49CC" w:rsidRDefault="002F49CC" w:rsidP="002F49CC">
      <w:pPr>
        <w:pStyle w:val="a7"/>
        <w:numPr>
          <w:ilvl w:val="0"/>
          <w:numId w:val="1"/>
        </w:numPr>
      </w:pPr>
      <w:r>
        <w:t>Изучить современные подходы к хирургическому лечению недостаточности аортального клапана.</w:t>
      </w:r>
    </w:p>
    <w:p w:rsidR="002F49CC" w:rsidRPr="002F49CC" w:rsidRDefault="002F49CC" w:rsidP="002F49CC">
      <w:pPr>
        <w:pStyle w:val="a7"/>
        <w:numPr>
          <w:ilvl w:val="0"/>
          <w:numId w:val="1"/>
        </w:numPr>
        <w:rPr>
          <w:shd w:val="clear" w:color="auto" w:fill="FFFFFF"/>
        </w:rPr>
      </w:pPr>
      <w:r w:rsidRPr="002F49CC">
        <w:t>Организовать эксперимент по</w:t>
      </w:r>
      <w:r w:rsidRPr="002F49CC">
        <w:rPr>
          <w:b/>
        </w:rPr>
        <w:t xml:space="preserve"> </w:t>
      </w:r>
      <w:r>
        <w:t xml:space="preserve">эндоваскулярной имплантации комбинированного </w:t>
      </w:r>
      <w:r w:rsidRPr="002F49CC">
        <w:rPr>
          <w:shd w:val="clear" w:color="auto" w:fill="FFFFFF"/>
        </w:rPr>
        <w:t>протеза клапана из нитинола и перикарда животных для лечения аортальной недостаточности трансфеморальным доступом на животной модели.</w:t>
      </w:r>
    </w:p>
    <w:p w:rsidR="002F49CC" w:rsidRPr="002F49CC" w:rsidRDefault="002F49CC" w:rsidP="002F49CC">
      <w:pPr>
        <w:pStyle w:val="a7"/>
        <w:numPr>
          <w:ilvl w:val="0"/>
          <w:numId w:val="1"/>
        </w:numPr>
        <w:rPr>
          <w:shd w:val="clear" w:color="auto" w:fill="FFFFFF"/>
        </w:rPr>
      </w:pPr>
      <w:r>
        <w:t>Проанализировать результаты эксперимента</w:t>
      </w:r>
      <w:r w:rsidRPr="002F49CC">
        <w:t xml:space="preserve"> по</w:t>
      </w:r>
      <w:r w:rsidRPr="002F49CC">
        <w:rPr>
          <w:b/>
        </w:rPr>
        <w:t xml:space="preserve"> </w:t>
      </w:r>
      <w:r>
        <w:t xml:space="preserve">эндоваскулярной имплантации комбинированного </w:t>
      </w:r>
      <w:r w:rsidRPr="002F49CC">
        <w:rPr>
          <w:shd w:val="clear" w:color="auto" w:fill="FFFFFF"/>
        </w:rPr>
        <w:t>протеза клапана из нитинола и перикарда животных для лечения аортальной недостаточности трансфеморальным доступом на животной модели.</w:t>
      </w:r>
    </w:p>
    <w:p w:rsidR="002F49CC" w:rsidRDefault="002F49CC" w:rsidP="002F49CC">
      <w:pPr>
        <w:pStyle w:val="a7"/>
        <w:numPr>
          <w:ilvl w:val="0"/>
          <w:numId w:val="1"/>
        </w:numPr>
      </w:pPr>
      <w:r>
        <w:t xml:space="preserve">На основании полученных данных разработать рекомендации по возможному клиническому применению эндоваскулярной имплантации комбинированного </w:t>
      </w:r>
      <w:r w:rsidRPr="002F49CC">
        <w:rPr>
          <w:shd w:val="clear" w:color="auto" w:fill="FFFFFF"/>
        </w:rPr>
        <w:t>протеза клапана из нитинола и перикарда животных для лечения аортальной недостаточности трансфеморальным доступом.</w:t>
      </w:r>
    </w:p>
    <w:p w:rsidR="002A4449" w:rsidRDefault="002A4449" w:rsidP="002F49CC">
      <w:pPr>
        <w:ind w:firstLine="708"/>
        <w:rPr>
          <w:b/>
        </w:rPr>
      </w:pPr>
      <w:r>
        <w:rPr>
          <w:b/>
        </w:rPr>
        <w:lastRenderedPageBreak/>
        <w:t>Гипотеза исследования</w:t>
      </w:r>
      <w:r w:rsidR="002F49CC">
        <w:rPr>
          <w:b/>
        </w:rPr>
        <w:t xml:space="preserve"> – </w:t>
      </w:r>
      <w:r w:rsidR="002F49CC" w:rsidRPr="002F49CC">
        <w:t>предполагается, что применение</w:t>
      </w:r>
      <w:r w:rsidR="002F49CC">
        <w:rPr>
          <w:b/>
        </w:rPr>
        <w:t xml:space="preserve"> </w:t>
      </w:r>
      <w:r w:rsidR="002F49CC">
        <w:t>к</w:t>
      </w:r>
      <w:r w:rsidR="002F49CC" w:rsidRPr="002F49CC">
        <w:t>омбинированн</w:t>
      </w:r>
      <w:r w:rsidR="002F49CC">
        <w:t>ого</w:t>
      </w:r>
      <w:r w:rsidR="002F49CC" w:rsidRPr="002F49CC">
        <w:t xml:space="preserve"> протез</w:t>
      </w:r>
      <w:r w:rsidR="002F49CC">
        <w:t>а</w:t>
      </w:r>
      <w:r w:rsidR="002F49CC" w:rsidRPr="002F49CC">
        <w:t xml:space="preserve"> клапана из нитинола и перикарда животных для эндоваскулярной имплантации</w:t>
      </w:r>
      <w:r w:rsidR="002F49CC">
        <w:t xml:space="preserve"> позволит повысить эффективность </w:t>
      </w:r>
      <w:r w:rsidR="002F49CC" w:rsidRPr="002F49CC">
        <w:rPr>
          <w:shd w:val="clear" w:color="auto" w:fill="FFFFFF"/>
        </w:rPr>
        <w:t>лечения аортальной недостаточности</w:t>
      </w:r>
      <w:r w:rsidR="002F49CC">
        <w:rPr>
          <w:shd w:val="clear" w:color="auto" w:fill="FFFFFF"/>
        </w:rPr>
        <w:t>.</w:t>
      </w:r>
    </w:p>
    <w:p w:rsidR="00517E50" w:rsidRDefault="002A4449" w:rsidP="00517E50">
      <w:pPr>
        <w:ind w:firstLine="708"/>
        <w:rPr>
          <w:shd w:val="clear" w:color="auto" w:fill="FFFFFF"/>
        </w:rPr>
      </w:pPr>
      <w:r w:rsidRPr="00517E50">
        <w:rPr>
          <w:b/>
        </w:rPr>
        <w:t>Научная новизна</w:t>
      </w:r>
      <w:r w:rsidR="002F49CC" w:rsidRPr="002F49CC">
        <w:t xml:space="preserve"> </w:t>
      </w:r>
      <w:r w:rsidR="002F49CC">
        <w:t xml:space="preserve">исследования состоит в том, что </w:t>
      </w:r>
      <w:r w:rsidR="002F49CC" w:rsidRPr="00517E50">
        <w:t xml:space="preserve">впервые </w:t>
      </w:r>
      <w:r w:rsidR="00517E50" w:rsidRPr="00517E50">
        <w:t xml:space="preserve">были обобщены и систематизированы сведения о </w:t>
      </w:r>
      <w:r w:rsidR="00517E50">
        <w:t>хирургическом лечении недостаточности аортального клапана</w:t>
      </w:r>
      <w:r w:rsidR="00517E50" w:rsidRPr="00517E50">
        <w:rPr>
          <w:b/>
        </w:rPr>
        <w:t xml:space="preserve"> </w:t>
      </w:r>
      <w:r w:rsidR="00517E50" w:rsidRPr="00517E50">
        <w:t>путем</w:t>
      </w:r>
      <w:r w:rsidR="00517E50" w:rsidRPr="00517E50">
        <w:rPr>
          <w:b/>
        </w:rPr>
        <w:t xml:space="preserve"> </w:t>
      </w:r>
      <w:r w:rsidR="00517E50">
        <w:t xml:space="preserve">эндоваскулярной имплантации протезов клапана. Кроме того, впервые было проведено экспериментальное исследование эффективности эндоваскулярной имплантации комбинированного </w:t>
      </w:r>
      <w:r w:rsidR="00517E50" w:rsidRPr="00517E50">
        <w:rPr>
          <w:shd w:val="clear" w:color="auto" w:fill="FFFFFF"/>
        </w:rPr>
        <w:t>протеза клапана из нитинола и перикарда животных для лечения аортальной недостаточности трансфеморальным доступом на животной модели.</w:t>
      </w:r>
    </w:p>
    <w:p w:rsidR="002A4449" w:rsidRPr="00517E50" w:rsidRDefault="002A4449" w:rsidP="00517E50">
      <w:pPr>
        <w:ind w:firstLine="708"/>
        <w:rPr>
          <w:shd w:val="clear" w:color="auto" w:fill="FFFFFF"/>
        </w:rPr>
      </w:pPr>
      <w:r>
        <w:rPr>
          <w:b/>
        </w:rPr>
        <w:t>Практическая значимость</w:t>
      </w:r>
      <w:r w:rsidR="00517E50">
        <w:rPr>
          <w:b/>
        </w:rPr>
        <w:t xml:space="preserve"> </w:t>
      </w:r>
      <w:r w:rsidR="00517E50" w:rsidRPr="00517E50">
        <w:t xml:space="preserve">состоит в том, что на основании результатов экспериментального исследования были разработаны рекомендации по </w:t>
      </w:r>
      <w:r w:rsidR="00517E50">
        <w:t xml:space="preserve">клиническому применению эндоваскулярной имплантации комбинированного </w:t>
      </w:r>
      <w:r w:rsidR="00517E50" w:rsidRPr="002F49CC">
        <w:rPr>
          <w:shd w:val="clear" w:color="auto" w:fill="FFFFFF"/>
        </w:rPr>
        <w:t>протеза клапана из нитинола и перикарда животных для лечения аортальной недостаточности трансфеморальным доступом</w:t>
      </w:r>
      <w:r w:rsidR="00517E50">
        <w:rPr>
          <w:shd w:val="clear" w:color="auto" w:fill="FFFFFF"/>
        </w:rPr>
        <w:t>.</w:t>
      </w:r>
    </w:p>
    <w:p w:rsidR="00517E50" w:rsidRDefault="002A4449" w:rsidP="00517E50">
      <w:pPr>
        <w:ind w:firstLine="708"/>
      </w:pPr>
      <w:r>
        <w:rPr>
          <w:b/>
        </w:rPr>
        <w:t>Структура работы</w:t>
      </w:r>
      <w:r w:rsidR="00517E50">
        <w:rPr>
          <w:b/>
        </w:rPr>
        <w:t xml:space="preserve">. </w:t>
      </w:r>
      <w:r w:rsidR="00517E50">
        <w:t>Работа изложена на</w:t>
      </w:r>
      <w:proofErr w:type="gramStart"/>
      <w:r w:rsidR="00517E50">
        <w:t xml:space="preserve"> .</w:t>
      </w:r>
      <w:proofErr w:type="gramEnd"/>
      <w:r w:rsidR="00517E50">
        <w:t>. страницах печатного текста и состоит из введения, обзора литературы, двух глав собственных исследований, заключения, списка литературы и приложений. Работа содержит</w:t>
      </w:r>
      <w:proofErr w:type="gramStart"/>
      <w:r w:rsidR="00517E50">
        <w:t xml:space="preserve"> .</w:t>
      </w:r>
      <w:proofErr w:type="gramEnd"/>
      <w:r w:rsidR="00517E50">
        <w:t>. таблиц, .. диаграмм, .. приложение. Список литературы включает</w:t>
      </w:r>
      <w:proofErr w:type="gramStart"/>
      <w:r w:rsidR="00517E50">
        <w:t xml:space="preserve"> .</w:t>
      </w:r>
      <w:proofErr w:type="gramEnd"/>
      <w:r w:rsidR="00517E50">
        <w:t>. источников.</w:t>
      </w:r>
    </w:p>
    <w:p w:rsidR="00CC2F0B" w:rsidRDefault="00CC2F0B" w:rsidP="00517E50">
      <w:pPr>
        <w:ind w:firstLine="708"/>
        <w:rPr>
          <w:b/>
        </w:rPr>
      </w:pPr>
      <w:r>
        <w:rPr>
          <w:b/>
        </w:rPr>
        <w:br w:type="page"/>
      </w:r>
    </w:p>
    <w:p w:rsidR="00CC2F0B" w:rsidRPr="001C4747" w:rsidRDefault="00CC2F0B" w:rsidP="00CC2F0B">
      <w:pPr>
        <w:jc w:val="center"/>
        <w:rPr>
          <w:b/>
        </w:rPr>
      </w:pPr>
      <w:r w:rsidRPr="001C4747">
        <w:rPr>
          <w:b/>
        </w:rPr>
        <w:lastRenderedPageBreak/>
        <w:t>Глава 1. Современные подходы к хирургическому лечению недостаточности аортального клапана (обзор литературы)</w:t>
      </w:r>
    </w:p>
    <w:p w:rsidR="00CC2F0B" w:rsidRPr="00387552" w:rsidRDefault="00CC2F0B" w:rsidP="00CC2F0B">
      <w:pPr>
        <w:pStyle w:val="a7"/>
        <w:numPr>
          <w:ilvl w:val="1"/>
          <w:numId w:val="2"/>
        </w:numPr>
        <w:jc w:val="center"/>
        <w:rPr>
          <w:b/>
        </w:rPr>
      </w:pPr>
      <w:r w:rsidRPr="001C4747">
        <w:rPr>
          <w:b/>
        </w:rPr>
        <w:t>Состояние проблемы недостаточности аортального клапана на современном этапе развития кардиохирургии</w:t>
      </w:r>
    </w:p>
    <w:p w:rsidR="00CC2F0B" w:rsidRDefault="00CC2F0B" w:rsidP="00CC2F0B">
      <w:pPr>
        <w:ind w:firstLine="708"/>
      </w:pPr>
      <w:proofErr w:type="gramStart"/>
      <w:r>
        <w:t>Аортальная недостаточность (или аортальная регургитация (АР) представляет собой порок, характеризующийся неполным смыканием створок клапана, вследствие чего происходит обратный ток крови во время диастолы из левого предсердия в левый желудочек.</w:t>
      </w:r>
      <w:proofErr w:type="gramEnd"/>
      <w:r>
        <w:t xml:space="preserve"> Специалисты различают острую и хроническую аортальную недостаточность. </w:t>
      </w:r>
    </w:p>
    <w:p w:rsidR="00CC2F0B" w:rsidRDefault="00CC2F0B" w:rsidP="00CC2F0B">
      <w:pPr>
        <w:ind w:firstLine="708"/>
      </w:pPr>
      <w:r w:rsidRPr="00837956">
        <w:t xml:space="preserve">Наиболее частыми причинами развития острой </w:t>
      </w:r>
      <w:r>
        <w:t>аортальной недостаточности</w:t>
      </w:r>
      <w:r w:rsidRPr="00837956">
        <w:t xml:space="preserve"> являются: инфекционный эндокардит, расслоение аорты или травма. При </w:t>
      </w:r>
      <w:r>
        <w:t>этом</w:t>
      </w:r>
      <w:r w:rsidRPr="00837956">
        <w:t xml:space="preserve"> происходит внезапное увеличение диастолического объема крови, поступающей в неизмененный </w:t>
      </w:r>
      <w:r>
        <w:t>левый желудочек</w:t>
      </w:r>
      <w:r w:rsidRPr="00837956">
        <w:t xml:space="preserve">. </w:t>
      </w:r>
      <w:r>
        <w:t xml:space="preserve">Поскольку </w:t>
      </w:r>
      <w:r w:rsidRPr="00837956">
        <w:t>адаптивны</w:t>
      </w:r>
      <w:r>
        <w:t>е</w:t>
      </w:r>
      <w:r w:rsidRPr="00837956">
        <w:t xml:space="preserve"> механизм</w:t>
      </w:r>
      <w:r>
        <w:t>ы не успевают</w:t>
      </w:r>
      <w:r w:rsidRPr="00837956">
        <w:t xml:space="preserve"> развит</w:t>
      </w:r>
      <w:r>
        <w:t>ься,</w:t>
      </w:r>
      <w:r w:rsidRPr="00837956">
        <w:t xml:space="preserve"> пр</w:t>
      </w:r>
      <w:r>
        <w:t>оисходит</w:t>
      </w:r>
      <w:r w:rsidRPr="00837956">
        <w:t> резко</w:t>
      </w:r>
      <w:r>
        <w:t xml:space="preserve">е возрастание </w:t>
      </w:r>
      <w:r w:rsidRPr="00837956">
        <w:t xml:space="preserve">увеличению </w:t>
      </w:r>
      <w:r>
        <w:t xml:space="preserve">конечно-диастолического </w:t>
      </w:r>
      <w:proofErr w:type="gramStart"/>
      <w:r>
        <w:t>объема</w:t>
      </w:r>
      <w:proofErr w:type="gramEnd"/>
      <w:r w:rsidRPr="00837956">
        <w:t xml:space="preserve"> как в </w:t>
      </w:r>
      <w:r>
        <w:t>левом желудочке</w:t>
      </w:r>
      <w:r w:rsidRPr="00837956">
        <w:t xml:space="preserve">, так и в левом предсердии. Некоторое время сердце работает по закону Франка — Старлинга, согласно которому степень сокращения волокон миокарда есть производная длины его волокон. Однако неспособность камер сердца к быстрому компенсаторному расширению вскоре приводит к уменьшению объема выброса в аорту. Возникающей компенсаторной тахикардии оказывается недостаточно для поддержания достаточного сердечного выброса, что приводит к развитию отека </w:t>
      </w:r>
      <w:r>
        <w:t>легких и/или кардиогенного шока (Карпова Н.Ю. и др., 2014)</w:t>
      </w:r>
      <w:r w:rsidRPr="00837956">
        <w:t>.</w:t>
      </w:r>
    </w:p>
    <w:p w:rsidR="00CC2F0B" w:rsidRPr="00FA7415" w:rsidRDefault="00CC2F0B" w:rsidP="00CC2F0B">
      <w:pPr>
        <w:ind w:firstLine="708"/>
      </w:pPr>
      <w:r>
        <w:t>При развитии х</w:t>
      </w:r>
      <w:r w:rsidRPr="00837956">
        <w:t>роническ</w:t>
      </w:r>
      <w:r>
        <w:t>ой</w:t>
      </w:r>
      <w:r w:rsidRPr="00837956">
        <w:t xml:space="preserve"> аортальн</w:t>
      </w:r>
      <w:r>
        <w:t xml:space="preserve">ой недостаточности </w:t>
      </w:r>
      <w:r w:rsidRPr="00837956">
        <w:t xml:space="preserve"> </w:t>
      </w:r>
      <w:r>
        <w:t>в</w:t>
      </w:r>
      <w:r w:rsidRPr="00837956">
        <w:t> ответ на увеличение объема крови в </w:t>
      </w:r>
      <w:r>
        <w:t>левом желудочке</w:t>
      </w:r>
      <w:r w:rsidRPr="00837956">
        <w:t> включается ряд компенсаторных механизмов, способствующих его адаптации к увеличенному объему без увеличения давления наполнения.</w:t>
      </w:r>
      <w:r>
        <w:t xml:space="preserve"> </w:t>
      </w:r>
      <w:r w:rsidRPr="00837956">
        <w:t xml:space="preserve">Постепенное увеличение диастолического объема позволяет желудочку изгонять больший ударный объем, что определяет нормальный сердечный выброс. Это обеспечивается развитием эксцентрической гипертрофии </w:t>
      </w:r>
      <w:r>
        <w:t>его миокарда</w:t>
      </w:r>
      <w:r w:rsidRPr="00837956">
        <w:t xml:space="preserve">. </w:t>
      </w:r>
      <w:r w:rsidRPr="00837956">
        <w:lastRenderedPageBreak/>
        <w:t>Дальнейшее увеличение размера полостей левых отделов сердца в сочетании с усилением систолического напряжения стенок приводят к возникновению</w:t>
      </w:r>
      <w:r>
        <w:t xml:space="preserve"> сопутствующей концентрической гипертрофии левого желудочка</w:t>
      </w:r>
      <w:r w:rsidRPr="00837956">
        <w:t xml:space="preserve">. Таким образом, </w:t>
      </w:r>
      <w:r>
        <w:t>происходит</w:t>
      </w:r>
      <w:r w:rsidRPr="00837956">
        <w:t xml:space="preserve"> сочетание перегрузки объемом и давлением (стадия компенсации).</w:t>
      </w:r>
      <w:r>
        <w:t xml:space="preserve"> </w:t>
      </w:r>
      <w:r w:rsidRPr="00837956">
        <w:t>В</w:t>
      </w:r>
      <w:r w:rsidR="00D306F7">
        <w:t xml:space="preserve"> </w:t>
      </w:r>
      <w:r w:rsidRPr="00837956">
        <w:t xml:space="preserve">дальнейшем </w:t>
      </w:r>
      <w:r>
        <w:t>резерв</w:t>
      </w:r>
      <w:r w:rsidRPr="00837956">
        <w:t xml:space="preserve"> преднагрузки истощ</w:t>
      </w:r>
      <w:r>
        <w:t>ается</w:t>
      </w:r>
      <w:r w:rsidRPr="00837956">
        <w:t xml:space="preserve">, </w:t>
      </w:r>
      <w:r>
        <w:t>происходит</w:t>
      </w:r>
      <w:r w:rsidR="00D306F7">
        <w:t xml:space="preserve"> </w:t>
      </w:r>
      <w:r w:rsidRPr="00837956">
        <w:t xml:space="preserve">развитие несоответствующей объему гипертрофии </w:t>
      </w:r>
      <w:r>
        <w:t xml:space="preserve">левого желудочка </w:t>
      </w:r>
      <w:r w:rsidRPr="00837956">
        <w:t>с</w:t>
      </w:r>
      <w:r w:rsidR="00D306F7">
        <w:t xml:space="preserve"> </w:t>
      </w:r>
      <w:r w:rsidRPr="00837956">
        <w:t>последующим снижением фракции выброса (стадия декомпенсации)</w:t>
      </w:r>
      <w:r>
        <w:t xml:space="preserve"> (Клинические рекомендации, 2016).</w:t>
      </w:r>
    </w:p>
    <w:p w:rsidR="00CC2F0B" w:rsidRDefault="00CC2F0B" w:rsidP="00CC2F0B">
      <w:pPr>
        <w:ind w:firstLine="708"/>
      </w:pPr>
      <w:r>
        <w:t>В настоящее время, несмотря на успехи медикаментозного лечения, недостаточность аортального клапана в большинстве случаев требует хирургического вмешательства. При этом в случае острой аортальной недостаточности может потребоваться экстренная операция. С этой целью были разработаны специальные рекомендации – с изложением показаний к операции и алгоритмами по выбору типа оперативного вмешательства (</w:t>
      </w:r>
      <w:r w:rsidRPr="00837956">
        <w:rPr>
          <w:lang w:val="en-US"/>
        </w:rPr>
        <w:t>Erbel</w:t>
      </w:r>
      <w:r w:rsidRPr="003402D2">
        <w:t xml:space="preserve"> </w:t>
      </w:r>
      <w:r w:rsidRPr="00837956">
        <w:rPr>
          <w:lang w:val="en-US"/>
        </w:rPr>
        <w:t>R</w:t>
      </w:r>
      <w:r w:rsidRPr="003402D2">
        <w:t>.</w:t>
      </w:r>
      <w:r>
        <w:t xml:space="preserve"> </w:t>
      </w:r>
      <w:r w:rsidRPr="00837956">
        <w:rPr>
          <w:lang w:val="en-US"/>
        </w:rPr>
        <w:t>et</w:t>
      </w:r>
      <w:r w:rsidRPr="003402D2">
        <w:t xml:space="preserve"> </w:t>
      </w:r>
      <w:r w:rsidRPr="00837956">
        <w:rPr>
          <w:lang w:val="en-US"/>
        </w:rPr>
        <w:t>al</w:t>
      </w:r>
      <w:r w:rsidRPr="003402D2">
        <w:t>.</w:t>
      </w:r>
      <w:r>
        <w:t>, 2014;</w:t>
      </w:r>
      <w:r w:rsidRPr="003402D2">
        <w:t xml:space="preserve"> </w:t>
      </w:r>
      <w:r w:rsidRPr="00837956">
        <w:rPr>
          <w:lang w:val="en-US"/>
        </w:rPr>
        <w:t>Habib</w:t>
      </w:r>
      <w:r w:rsidRPr="003402D2">
        <w:t xml:space="preserve"> </w:t>
      </w:r>
      <w:r w:rsidRPr="00837956">
        <w:rPr>
          <w:lang w:val="en-US"/>
        </w:rPr>
        <w:t>G</w:t>
      </w:r>
      <w:r>
        <w:t>.</w:t>
      </w:r>
      <w:r w:rsidRPr="003402D2">
        <w:t xml:space="preserve"> </w:t>
      </w:r>
      <w:r w:rsidRPr="00837956">
        <w:rPr>
          <w:lang w:val="en-US"/>
        </w:rPr>
        <w:t>et</w:t>
      </w:r>
      <w:r w:rsidRPr="003402D2">
        <w:t xml:space="preserve"> </w:t>
      </w:r>
      <w:r w:rsidRPr="00837956">
        <w:rPr>
          <w:lang w:val="en-US"/>
        </w:rPr>
        <w:t>al</w:t>
      </w:r>
      <w:r w:rsidRPr="003402D2">
        <w:t>.</w:t>
      </w:r>
      <w:r>
        <w:t>, 2015).</w:t>
      </w:r>
    </w:p>
    <w:p w:rsidR="00CC2F0B" w:rsidRDefault="00CC2F0B" w:rsidP="00CC2F0B">
      <w:pPr>
        <w:tabs>
          <w:tab w:val="left" w:pos="0"/>
        </w:tabs>
      </w:pPr>
      <w:r>
        <w:tab/>
        <w:t>Показания к хирургическим вмешательствам при хронической аортальной недостаточности и могут быть связаны с симптоматикой, состоянием левого желудочка (ЛЖ), или дилатацией аорты. У симптомных пациентов хирургическое вмешательство рекомендуется независимо от значения фракции выброса левого желудочка (ФВ ЛЖ), за  исключением крайних случаев тяжелой аортальной недостаточности, сопровождающейся высоким хирургическим риском осложнений (</w:t>
      </w:r>
      <w:r w:rsidRPr="00CE079A">
        <w:rPr>
          <w:lang w:val="en-US"/>
        </w:rPr>
        <w:t>Chaliki</w:t>
      </w:r>
      <w:r w:rsidRPr="003402D2">
        <w:t xml:space="preserve"> </w:t>
      </w:r>
      <w:r w:rsidRPr="00CE079A">
        <w:rPr>
          <w:lang w:val="en-US"/>
        </w:rPr>
        <w:t>H</w:t>
      </w:r>
      <w:r w:rsidRPr="003402D2">
        <w:t>.</w:t>
      </w:r>
      <w:r w:rsidRPr="00CE079A">
        <w:rPr>
          <w:lang w:val="en-US"/>
        </w:rPr>
        <w:t>P</w:t>
      </w:r>
      <w:r w:rsidRPr="003402D2">
        <w:t xml:space="preserve">. </w:t>
      </w:r>
      <w:r w:rsidRPr="00960D07">
        <w:rPr>
          <w:lang w:val="en-US"/>
        </w:rPr>
        <w:t>et</w:t>
      </w:r>
      <w:r w:rsidRPr="003402D2">
        <w:t xml:space="preserve"> </w:t>
      </w:r>
      <w:r w:rsidRPr="00960D07">
        <w:rPr>
          <w:lang w:val="en-US"/>
        </w:rPr>
        <w:t>al</w:t>
      </w:r>
      <w:r w:rsidRPr="003402D2">
        <w:t>.</w:t>
      </w:r>
      <w:r>
        <w:t xml:space="preserve">, 2002). </w:t>
      </w:r>
      <w:proofErr w:type="gramStart"/>
      <w:r>
        <w:t>У бессимптомных пациентов с  тяжелой аортальной недостаточностью снижение функции ЛЖ (ФВ ЛЖ ≤50%) и расширение ЛЖ с конечным диастолическим размером ЛЖ (КДР ЛЖ) &gt;70 мм или конечным систолическим размером левого желудочка (КСР ЛЖ) &gt;50 мм ассоциировано с  плохим прогнозом, поэтому при достижении этих значений показано хирургическое вмешательство (</w:t>
      </w:r>
      <w:r w:rsidRPr="00CE079A">
        <w:rPr>
          <w:lang w:val="en-US"/>
        </w:rPr>
        <w:t>Tornos</w:t>
      </w:r>
      <w:r w:rsidRPr="003402D2">
        <w:t xml:space="preserve"> </w:t>
      </w:r>
      <w:r w:rsidRPr="00CE079A">
        <w:rPr>
          <w:lang w:val="en-US"/>
        </w:rPr>
        <w:t>P</w:t>
      </w:r>
      <w:r w:rsidRPr="003402D2">
        <w:t>.</w:t>
      </w:r>
      <w:r>
        <w:t xml:space="preserve"> </w:t>
      </w:r>
      <w:r w:rsidRPr="003402D2">
        <w:t xml:space="preserve"> </w:t>
      </w:r>
      <w:r w:rsidRPr="00960D07">
        <w:rPr>
          <w:lang w:val="en-US"/>
        </w:rPr>
        <w:t>et</w:t>
      </w:r>
      <w:r w:rsidRPr="003402D2">
        <w:t xml:space="preserve"> </w:t>
      </w:r>
      <w:r w:rsidRPr="00960D07">
        <w:rPr>
          <w:lang w:val="en-US"/>
        </w:rPr>
        <w:t>al</w:t>
      </w:r>
      <w:r w:rsidRPr="003402D2">
        <w:t>.</w:t>
      </w:r>
      <w:r>
        <w:t>, 2006;</w:t>
      </w:r>
      <w:proofErr w:type="gramEnd"/>
      <w:r>
        <w:t xml:space="preserve"> </w:t>
      </w:r>
      <w:r w:rsidRPr="00CE079A">
        <w:rPr>
          <w:lang w:val="en-US"/>
        </w:rPr>
        <w:t>Sambola</w:t>
      </w:r>
      <w:r w:rsidRPr="003402D2">
        <w:rPr>
          <w:shd w:val="clear" w:color="auto" w:fill="FFFFFF"/>
        </w:rPr>
        <w:t xml:space="preserve"> </w:t>
      </w:r>
      <w:r w:rsidRPr="00CE079A">
        <w:rPr>
          <w:lang w:val="en-US"/>
        </w:rPr>
        <w:t>A</w:t>
      </w:r>
      <w:r w:rsidRPr="003402D2">
        <w:t>.</w:t>
      </w:r>
      <w:r>
        <w:t xml:space="preserve"> </w:t>
      </w:r>
      <w:r w:rsidRPr="00960D07">
        <w:rPr>
          <w:lang w:val="en-US"/>
        </w:rPr>
        <w:t>et</w:t>
      </w:r>
      <w:r w:rsidRPr="003402D2">
        <w:t xml:space="preserve"> </w:t>
      </w:r>
      <w:r w:rsidRPr="00960D07">
        <w:rPr>
          <w:lang w:val="en-US"/>
        </w:rPr>
        <w:t>al</w:t>
      </w:r>
      <w:r w:rsidRPr="003402D2">
        <w:t>.</w:t>
      </w:r>
      <w:r>
        <w:t>, 2008).</w:t>
      </w:r>
    </w:p>
    <w:p w:rsidR="00CC2F0B" w:rsidRDefault="00CC2F0B" w:rsidP="00CC2F0B">
      <w:pPr>
        <w:tabs>
          <w:tab w:val="left" w:pos="0"/>
        </w:tabs>
      </w:pPr>
      <w:r>
        <w:tab/>
        <w:t xml:space="preserve">Больным, у которых пороговые показатели анатомии и функции ЛЖ не достигли значений, необходимых для хирургического вмешательства, </w:t>
      </w:r>
      <w:r>
        <w:lastRenderedPageBreak/>
        <w:t xml:space="preserve">показано динамическое наблюдение  с проведением  нагрузочных тестов для выявления пограничных симптомов. </w:t>
      </w:r>
    </w:p>
    <w:p w:rsidR="00CC2F0B" w:rsidRDefault="00CC2F0B" w:rsidP="00CC2F0B">
      <w:pPr>
        <w:tabs>
          <w:tab w:val="left" w:pos="0"/>
        </w:tabs>
      </w:pPr>
      <w:r>
        <w:tab/>
        <w:t xml:space="preserve">У бессимптомных пациентов для определения оптимальных сроков операции весьма важна регулярная оценка клинического состояния и  функции ЛЖ. Быстрое прогрессирование дилатации ЛЖ или снижение его сократительной способности при обследовании в динамике является основанием для хирургического вмешательства. </w:t>
      </w:r>
      <w:proofErr w:type="gramStart"/>
      <w:r>
        <w:t>У пациентов с  расширением аорты показания к  операции лучше всего определены для больных с  синдромом</w:t>
      </w:r>
      <w:proofErr w:type="gramEnd"/>
      <w:r>
        <w:t xml:space="preserve"> Марфана и  дилатацией корня аорты (</w:t>
      </w:r>
      <w:r w:rsidRPr="00CE079A">
        <w:rPr>
          <w:lang w:val="en-US"/>
        </w:rPr>
        <w:t>Jondeau</w:t>
      </w:r>
      <w:r w:rsidRPr="003402D2">
        <w:t xml:space="preserve"> </w:t>
      </w:r>
      <w:r w:rsidRPr="00CE079A">
        <w:rPr>
          <w:lang w:val="en-US"/>
        </w:rPr>
        <w:t>G</w:t>
      </w:r>
      <w:r w:rsidRPr="003402D2">
        <w:t xml:space="preserve">. </w:t>
      </w:r>
      <w:r w:rsidRPr="00960D07">
        <w:rPr>
          <w:lang w:val="en-US"/>
        </w:rPr>
        <w:t>et</w:t>
      </w:r>
      <w:r w:rsidRPr="003402D2">
        <w:t xml:space="preserve"> </w:t>
      </w:r>
      <w:r w:rsidRPr="00960D07">
        <w:rPr>
          <w:lang w:val="en-US"/>
        </w:rPr>
        <w:t>al</w:t>
      </w:r>
      <w:r w:rsidRPr="003402D2">
        <w:t>.</w:t>
      </w:r>
      <w:r>
        <w:t xml:space="preserve">, 2012). Аневризмы корня аорты требуют протезирования корня аорты с  сохранением или без сохранения нативного аортального клапана, но  с  реимплантацией коронарных артерий. Напротив, аневризмы восходящего отдела аорты требуют только протезирования восходящего отдела аорты </w:t>
      </w:r>
      <w:proofErr w:type="gramStart"/>
      <w:r>
        <w:t>без</w:t>
      </w:r>
      <w:proofErr w:type="gramEnd"/>
      <w:r>
        <w:t xml:space="preserve"> коронарной реимплантации. У  лиц с  двустворчатым аортальным клапаном и  без тяжелой регургитации профилактическую операцию следует </w:t>
      </w:r>
      <w:proofErr w:type="gramStart"/>
      <w:r>
        <w:t>рассматривать</w:t>
      </w:r>
      <w:proofErr w:type="gramEnd"/>
      <w:r>
        <w:t xml:space="preserve"> начиная с  диаметра аорты ≥55  мм или ≥50  мм при наличии дополнительных факторов риска или коарктации аорты (</w:t>
      </w:r>
      <w:r w:rsidRPr="00CE079A">
        <w:rPr>
          <w:lang w:val="en-US"/>
        </w:rPr>
        <w:t>Jondeau</w:t>
      </w:r>
      <w:r w:rsidRPr="003402D2">
        <w:t xml:space="preserve"> </w:t>
      </w:r>
      <w:r w:rsidRPr="00CE079A">
        <w:rPr>
          <w:lang w:val="en-US"/>
        </w:rPr>
        <w:t>G</w:t>
      </w:r>
      <w:r w:rsidRPr="003402D2">
        <w:t xml:space="preserve">. </w:t>
      </w:r>
      <w:r w:rsidRPr="00960D07">
        <w:rPr>
          <w:lang w:val="en-US"/>
        </w:rPr>
        <w:t>et</w:t>
      </w:r>
      <w:r w:rsidRPr="003402D2">
        <w:t xml:space="preserve"> </w:t>
      </w:r>
      <w:r w:rsidRPr="00960D07">
        <w:rPr>
          <w:lang w:val="en-US"/>
        </w:rPr>
        <w:t>al</w:t>
      </w:r>
      <w:r w:rsidRPr="003402D2">
        <w:t>.</w:t>
      </w:r>
      <w:r>
        <w:t>, 2016). При диаметре корня аорты ≥55  мм хирургическое вмешательство рекомендуется независимо от степени аортальной недостаточности и строения аортального клапана (</w:t>
      </w:r>
      <w:r w:rsidRPr="00CE079A">
        <w:rPr>
          <w:lang w:val="en-US"/>
        </w:rPr>
        <w:t>Borger</w:t>
      </w:r>
      <w:r w:rsidRPr="0045483A">
        <w:t xml:space="preserve"> </w:t>
      </w:r>
      <w:r w:rsidRPr="00CE079A">
        <w:rPr>
          <w:lang w:val="en-US"/>
        </w:rPr>
        <w:t>M</w:t>
      </w:r>
      <w:r w:rsidRPr="0045483A">
        <w:t>.</w:t>
      </w:r>
      <w:r w:rsidRPr="00CE079A">
        <w:rPr>
          <w:lang w:val="en-US"/>
        </w:rPr>
        <w:t>A</w:t>
      </w:r>
      <w:r w:rsidRPr="0045483A">
        <w:t>.</w:t>
      </w:r>
      <w:r>
        <w:t xml:space="preserve"> </w:t>
      </w:r>
      <w:r w:rsidRPr="00960D07">
        <w:rPr>
          <w:lang w:val="en-US"/>
        </w:rPr>
        <w:t>et</w:t>
      </w:r>
      <w:r w:rsidRPr="0045483A">
        <w:t xml:space="preserve"> </w:t>
      </w:r>
      <w:r w:rsidRPr="00960D07">
        <w:rPr>
          <w:lang w:val="en-US"/>
        </w:rPr>
        <w:t>al</w:t>
      </w:r>
      <w:r w:rsidRPr="0045483A">
        <w:t>.</w:t>
      </w:r>
      <w:r>
        <w:t>, 2004). Для пациентов, имеющих показания к  операции на  аортальном клапане, расширение аорты ≥45 мм, считается показанием к одновременной операции на корне или восходящей части аорты. Персонализированные решения должны также учитывать рост пациента, этиологию болезни клапана (двустворчатый клапан), а  также форму и  толщину стенки восходящей аорты, оцениваемые интраоперационно.</w:t>
      </w:r>
    </w:p>
    <w:p w:rsidR="00CC2F0B" w:rsidRDefault="00CC2F0B" w:rsidP="00CC2F0B">
      <w:pPr>
        <w:tabs>
          <w:tab w:val="left" w:pos="0"/>
        </w:tabs>
      </w:pPr>
      <w:r>
        <w:tab/>
        <w:t xml:space="preserve">Показания к хирургическому вмешательству при аортальной недостаточности и заболеваниях корня аорты представлены в таблице 1 (Рекомендации </w:t>
      </w:r>
      <w:r>
        <w:rPr>
          <w:lang w:val="en-US"/>
        </w:rPr>
        <w:t>ESC</w:t>
      </w:r>
      <w:r>
        <w:t>/</w:t>
      </w:r>
      <w:r>
        <w:rPr>
          <w:lang w:val="en-US"/>
        </w:rPr>
        <w:t>EACTS</w:t>
      </w:r>
      <w:r>
        <w:t xml:space="preserve"> 2017).</w:t>
      </w:r>
    </w:p>
    <w:p w:rsidR="00CC2F0B" w:rsidRDefault="00CC2F0B" w:rsidP="00CC2F0B">
      <w:pPr>
        <w:tabs>
          <w:tab w:val="left" w:pos="2955"/>
        </w:tabs>
        <w:jc w:val="right"/>
      </w:pPr>
      <w:r>
        <w:br w:type="page"/>
      </w:r>
    </w:p>
    <w:p w:rsidR="00CC2F0B" w:rsidRDefault="00CC2F0B" w:rsidP="00CC2F0B">
      <w:pPr>
        <w:tabs>
          <w:tab w:val="left" w:pos="2955"/>
        </w:tabs>
        <w:jc w:val="right"/>
      </w:pPr>
      <w:r>
        <w:lastRenderedPageBreak/>
        <w:t>Таблица 1</w:t>
      </w:r>
    </w:p>
    <w:p w:rsidR="00CC2F0B" w:rsidRDefault="00CC2F0B" w:rsidP="00CC2F0B">
      <w:pPr>
        <w:tabs>
          <w:tab w:val="left" w:pos="2955"/>
        </w:tabs>
        <w:jc w:val="center"/>
      </w:pPr>
      <w:r>
        <w:t>Показания к хирургическому вмешательству при (А) тяжёлой аортальной недостаточности и (В) заболеваниях корня аорты (независимо от степени аортальной недостаточности)</w:t>
      </w:r>
    </w:p>
    <w:p w:rsidR="00CC2F0B" w:rsidRDefault="00CC2F0B" w:rsidP="00CC2F0B">
      <w:pPr>
        <w:tabs>
          <w:tab w:val="left" w:pos="0"/>
        </w:tabs>
        <w:jc w:val="center"/>
      </w:pPr>
      <w:r>
        <w:rPr>
          <w:noProof/>
          <w:lang w:eastAsia="ru-RU"/>
        </w:rPr>
        <w:drawing>
          <wp:inline distT="0" distB="0" distL="0" distR="0">
            <wp:extent cx="4972050" cy="7696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srcRect l="30626" t="17681" r="50294" b="11312"/>
                    <a:stretch/>
                  </pic:blipFill>
                  <pic:spPr bwMode="auto">
                    <a:xfrm>
                      <a:off x="0" y="0"/>
                      <a:ext cx="4972050" cy="7696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2F0B" w:rsidRPr="001C4747" w:rsidRDefault="00CC2F0B" w:rsidP="00CC2F0B">
      <w:pPr>
        <w:rPr>
          <w:sz w:val="24"/>
          <w:szCs w:val="24"/>
        </w:rPr>
      </w:pPr>
      <w:r>
        <w:rPr>
          <w:sz w:val="24"/>
          <w:szCs w:val="24"/>
        </w:rPr>
        <w:lastRenderedPageBreak/>
        <w:tab/>
      </w:r>
      <w:r w:rsidRPr="001C4747">
        <w:rPr>
          <w:sz w:val="24"/>
          <w:szCs w:val="24"/>
        </w:rPr>
        <w:t xml:space="preserve">Примечание: а   — класс рекомендаций, b   — уровень доказательности, c   — пациенты с гибкими не кальцинированными трёхстворчатым или двустворчатым клапаном, при наличии аортальной недостаточности I (расширение корня аорты с нормальным движением створок) или II (пролапс створок) типов, d  — для принятия клинических решений размеры аорты должны быть подтверждены на </w:t>
      </w:r>
      <w:proofErr w:type="gramStart"/>
      <w:r w:rsidRPr="001C4747">
        <w:rPr>
          <w:sz w:val="24"/>
          <w:szCs w:val="24"/>
        </w:rPr>
        <w:t>КТ</w:t>
      </w:r>
      <w:proofErr w:type="gramEnd"/>
      <w:r w:rsidRPr="001C4747">
        <w:rPr>
          <w:sz w:val="24"/>
          <w:szCs w:val="24"/>
        </w:rPr>
        <w:t xml:space="preserve"> выполненным с ЭКГ-синхронизацией, e   — семейный анамнез диссекции аорты (или спонтанные расслоения сосудов в анамнезе </w:t>
      </w:r>
      <w:proofErr w:type="gramStart"/>
      <w:r w:rsidRPr="001C4747">
        <w:rPr>
          <w:sz w:val="24"/>
          <w:szCs w:val="24"/>
        </w:rPr>
        <w:t>пациента), тяжелая аортальная или митральная недостаточность, планирование беременности, артериальная гипертензия и/или прирост диаметра аорты &gt;3 мм/год (при повторных измерениях с той же методики визуализации под контролем ЭКГ, выполненных на том же уровне аорты с пошаговым сравнением и подтверждённым другим методом), f   — нижние пороговые значения 40 мм для вмешательства могут рассматриваться применительно к площади поверхности тела у пациентов небольшого</w:t>
      </w:r>
      <w:proofErr w:type="gramEnd"/>
      <w:r w:rsidRPr="001C4747">
        <w:rPr>
          <w:sz w:val="24"/>
          <w:szCs w:val="24"/>
        </w:rPr>
        <w:t xml:space="preserve"> роста, у пациентов с мутациями в гене TGFBR2 или у пациентов с тяжелыми </w:t>
      </w:r>
      <w:proofErr w:type="gramStart"/>
      <w:r w:rsidRPr="001C4747">
        <w:rPr>
          <w:sz w:val="24"/>
          <w:szCs w:val="24"/>
        </w:rPr>
        <w:t>экстра-аортальными</w:t>
      </w:r>
      <w:proofErr w:type="gramEnd"/>
      <w:r w:rsidRPr="001C4747">
        <w:rPr>
          <w:sz w:val="24"/>
          <w:szCs w:val="24"/>
        </w:rPr>
        <w:t xml:space="preserve"> поражениями, g   — с учётом возраста, ППТ, этиологии клапанной болезни, наличия двустворчатого аортального клапана и выявленной интраоперационной формой и толщиной восходящей аорты. Сокращения: АКШ — </w:t>
      </w:r>
      <w:proofErr w:type="gramStart"/>
      <w:r w:rsidRPr="001C4747">
        <w:rPr>
          <w:sz w:val="24"/>
          <w:szCs w:val="24"/>
        </w:rPr>
        <w:t>аорто-коронарное</w:t>
      </w:r>
      <w:proofErr w:type="gramEnd"/>
      <w:r w:rsidRPr="001C4747">
        <w:rPr>
          <w:sz w:val="24"/>
          <w:szCs w:val="24"/>
        </w:rPr>
        <w:t xml:space="preserve"> шунтирование, КДР ЛЖ — конечный диастолический размер левого желудочка, КСР ЛЖ — конечный систолический размер левого желудочка, КТ  — компьютерная томография, ЛЖ  — левый желудочек, ППТ — площадь поверхности тела, ЭКГ — электрокардиограмма.</w:t>
      </w:r>
    </w:p>
    <w:p w:rsidR="00CC2F0B" w:rsidRDefault="00CC2F0B" w:rsidP="00CC2F0B">
      <w:pPr>
        <w:tabs>
          <w:tab w:val="left" w:pos="0"/>
        </w:tabs>
      </w:pPr>
      <w:r>
        <w:tab/>
      </w:r>
      <w:proofErr w:type="gramStart"/>
      <w:r>
        <w:t xml:space="preserve">Несмотря на  то, что стандартной процедурой у  большинства пациентов с  аортальной недостаточностью является протезирование клапана, у пациентов с  эластичными некальцинированными трёхстворчатыми или двухстворчатыми клапанами, с аортальной недостаточностью I типа (расширение корня аорты с  нормальной подвижностью створок или II типа (пролапс створок) следует рассматривать пластику клапанов или клапан-сохраняющую хирургию </w:t>
      </w:r>
      <w:r w:rsidRPr="0045483A">
        <w:rPr>
          <w:lang w:val="en-US"/>
        </w:rPr>
        <w:t>(</w:t>
      </w:r>
      <w:r w:rsidRPr="00505B6D">
        <w:rPr>
          <w:lang w:val="en-US"/>
        </w:rPr>
        <w:t>le Polain de Waroux</w:t>
      </w:r>
      <w:r w:rsidRPr="00505B6D">
        <w:rPr>
          <w:shd w:val="clear" w:color="auto" w:fill="FFFFFF"/>
          <w:lang w:val="en-US"/>
        </w:rPr>
        <w:t xml:space="preserve"> </w:t>
      </w:r>
      <w:r w:rsidRPr="00505B6D">
        <w:rPr>
          <w:lang w:val="en-US"/>
        </w:rPr>
        <w:t xml:space="preserve">J.B. </w:t>
      </w:r>
      <w:r w:rsidRPr="00960D07">
        <w:rPr>
          <w:lang w:val="en-US"/>
        </w:rPr>
        <w:t>et al.</w:t>
      </w:r>
      <w:r w:rsidRPr="007A5539">
        <w:rPr>
          <w:lang w:val="en-US"/>
        </w:rPr>
        <w:t>, 2007;</w:t>
      </w:r>
      <w:proofErr w:type="gramEnd"/>
      <w:r w:rsidRPr="00505B6D">
        <w:rPr>
          <w:shd w:val="clear" w:color="auto" w:fill="FFFFFF"/>
          <w:lang w:val="en-US"/>
        </w:rPr>
        <w:t xml:space="preserve"> </w:t>
      </w:r>
      <w:proofErr w:type="gramStart"/>
      <w:r w:rsidRPr="00505B6D">
        <w:rPr>
          <w:lang w:val="en-US"/>
        </w:rPr>
        <w:t>Lansac E.</w:t>
      </w:r>
      <w:r>
        <w:rPr>
          <w:lang w:val="en-US"/>
        </w:rPr>
        <w:t xml:space="preserve"> </w:t>
      </w:r>
      <w:r w:rsidRPr="00960D07">
        <w:rPr>
          <w:lang w:val="en-US"/>
        </w:rPr>
        <w:t>et al.</w:t>
      </w:r>
      <w:r w:rsidRPr="007A5539">
        <w:rPr>
          <w:lang w:val="en-US"/>
        </w:rPr>
        <w:t xml:space="preserve">, 2008; </w:t>
      </w:r>
      <w:r w:rsidRPr="00D01157">
        <w:rPr>
          <w:lang w:val="en-US"/>
        </w:rPr>
        <w:t>Lancellotti P.</w:t>
      </w:r>
      <w:proofErr w:type="gramEnd"/>
      <w:r w:rsidRPr="007A5539">
        <w:rPr>
          <w:lang w:val="en-US"/>
        </w:rPr>
        <w:t xml:space="preserve"> </w:t>
      </w:r>
      <w:r w:rsidRPr="00D01157">
        <w:rPr>
          <w:lang w:val="en-US"/>
        </w:rPr>
        <w:t xml:space="preserve"> </w:t>
      </w:r>
      <w:proofErr w:type="gramStart"/>
      <w:r>
        <w:rPr>
          <w:lang w:val="en-US"/>
        </w:rPr>
        <w:t>et</w:t>
      </w:r>
      <w:proofErr w:type="gramEnd"/>
      <w:r w:rsidRPr="007A5539">
        <w:t xml:space="preserve"> </w:t>
      </w:r>
      <w:r>
        <w:rPr>
          <w:lang w:val="en-US"/>
        </w:rPr>
        <w:t>al</w:t>
      </w:r>
      <w:r w:rsidRPr="007A5539">
        <w:rPr>
          <w:shd w:val="clear" w:color="auto" w:fill="FFFFFF"/>
        </w:rPr>
        <w:t>.</w:t>
      </w:r>
      <w:r>
        <w:rPr>
          <w:shd w:val="clear" w:color="auto" w:fill="FFFFFF"/>
        </w:rPr>
        <w:t>, 2010</w:t>
      </w:r>
      <w:r w:rsidRPr="007A5539">
        <w:t xml:space="preserve">). </w:t>
      </w:r>
      <w:r>
        <w:t>В  экспертных центрах клапан-сохраняющее протезирование дуги аорты и  протезирование клапанов, в  случае их выполнения имеют хорошие долгосрочные результаты при низкой частоте клапанопосредованных событий и хорошее качество жизни (</w:t>
      </w:r>
      <w:r w:rsidRPr="00D01157">
        <w:rPr>
          <w:lang w:val="en-US"/>
        </w:rPr>
        <w:t>Aicher D</w:t>
      </w:r>
      <w:r w:rsidRPr="007A5539">
        <w:t>.</w:t>
      </w:r>
      <w:r>
        <w:t xml:space="preserve"> </w:t>
      </w:r>
      <w:r w:rsidRPr="007A5539">
        <w:t xml:space="preserve"> </w:t>
      </w:r>
      <w:r>
        <w:rPr>
          <w:lang w:val="en-US"/>
        </w:rPr>
        <w:t>et</w:t>
      </w:r>
      <w:r w:rsidRPr="007A5539">
        <w:rPr>
          <w:lang w:val="en-US"/>
        </w:rPr>
        <w:t xml:space="preserve"> </w:t>
      </w:r>
      <w:r>
        <w:rPr>
          <w:lang w:val="en-US"/>
        </w:rPr>
        <w:t>al</w:t>
      </w:r>
      <w:r w:rsidRPr="007A5539">
        <w:rPr>
          <w:shd w:val="clear" w:color="auto" w:fill="FFFFFF"/>
          <w:lang w:val="en-US"/>
        </w:rPr>
        <w:t xml:space="preserve">., 2010; </w:t>
      </w:r>
      <w:r w:rsidRPr="00D01157">
        <w:rPr>
          <w:lang w:val="en-US"/>
        </w:rPr>
        <w:t>Vohra H.A.</w:t>
      </w:r>
      <w:r>
        <w:rPr>
          <w:lang w:val="en-US"/>
        </w:rPr>
        <w:t xml:space="preserve"> </w:t>
      </w:r>
      <w:r w:rsidRPr="00D01157">
        <w:rPr>
          <w:lang w:val="en-US"/>
        </w:rPr>
        <w:t> </w:t>
      </w:r>
      <w:r>
        <w:rPr>
          <w:lang w:val="en-US"/>
        </w:rPr>
        <w:t>et</w:t>
      </w:r>
      <w:r w:rsidRPr="00EE2468">
        <w:rPr>
          <w:lang w:val="en-US"/>
        </w:rPr>
        <w:t xml:space="preserve"> </w:t>
      </w:r>
      <w:r>
        <w:rPr>
          <w:lang w:val="en-US"/>
        </w:rPr>
        <w:t>al</w:t>
      </w:r>
      <w:r w:rsidRPr="00EE2468">
        <w:rPr>
          <w:shd w:val="clear" w:color="auto" w:fill="FFFFFF"/>
          <w:lang w:val="en-US"/>
        </w:rPr>
        <w:t xml:space="preserve">., 2013; </w:t>
      </w:r>
      <w:r w:rsidRPr="00D01157">
        <w:rPr>
          <w:lang w:val="en-US"/>
        </w:rPr>
        <w:t>Arabkhani</w:t>
      </w:r>
      <w:r w:rsidRPr="00EE2468">
        <w:rPr>
          <w:lang w:val="en-US"/>
        </w:rPr>
        <w:t xml:space="preserve"> </w:t>
      </w:r>
      <w:r w:rsidRPr="00D01157">
        <w:rPr>
          <w:lang w:val="en-US"/>
        </w:rPr>
        <w:t>B</w:t>
      </w:r>
      <w:r w:rsidRPr="00EE2468">
        <w:rPr>
          <w:lang w:val="en-US"/>
        </w:rPr>
        <w:t xml:space="preserve">.  </w:t>
      </w:r>
      <w:r>
        <w:rPr>
          <w:lang w:val="en-US"/>
        </w:rPr>
        <w:t>et</w:t>
      </w:r>
      <w:r w:rsidRPr="00EE2468">
        <w:rPr>
          <w:lang w:val="en-US"/>
        </w:rPr>
        <w:t xml:space="preserve"> </w:t>
      </w:r>
      <w:r>
        <w:rPr>
          <w:lang w:val="en-US"/>
        </w:rPr>
        <w:t>al</w:t>
      </w:r>
      <w:r w:rsidRPr="00EE2468">
        <w:rPr>
          <w:shd w:val="clear" w:color="auto" w:fill="FFFFFF"/>
          <w:lang w:val="en-US"/>
        </w:rPr>
        <w:t xml:space="preserve">., </w:t>
      </w:r>
      <w:r w:rsidRPr="00EE2468">
        <w:rPr>
          <w:shd w:val="clear" w:color="auto" w:fill="FFFFFF"/>
          <w:lang w:val="en-US"/>
        </w:rPr>
        <w:lastRenderedPageBreak/>
        <w:t xml:space="preserve">2015; </w:t>
      </w:r>
      <w:r w:rsidRPr="00D01157">
        <w:rPr>
          <w:lang w:val="en-US"/>
        </w:rPr>
        <w:t>Lansac</w:t>
      </w:r>
      <w:r w:rsidRPr="00EE2468">
        <w:rPr>
          <w:lang w:val="en-US"/>
        </w:rPr>
        <w:t xml:space="preserve"> </w:t>
      </w:r>
      <w:r w:rsidRPr="00D01157">
        <w:rPr>
          <w:lang w:val="en-US"/>
        </w:rPr>
        <w:t>E</w:t>
      </w:r>
      <w:r w:rsidRPr="00EE2468">
        <w:rPr>
          <w:lang w:val="en-US"/>
        </w:rPr>
        <w:t xml:space="preserve">. </w:t>
      </w:r>
      <w:r>
        <w:rPr>
          <w:lang w:val="en-US"/>
        </w:rPr>
        <w:t>et</w:t>
      </w:r>
      <w:r w:rsidRPr="00EE2468">
        <w:rPr>
          <w:lang w:val="en-US"/>
        </w:rPr>
        <w:t xml:space="preserve"> </w:t>
      </w:r>
      <w:r>
        <w:rPr>
          <w:lang w:val="en-US"/>
        </w:rPr>
        <w:t>al</w:t>
      </w:r>
      <w:r w:rsidRPr="00EE2468">
        <w:rPr>
          <w:shd w:val="clear" w:color="auto" w:fill="FFFFFF"/>
          <w:lang w:val="en-US"/>
        </w:rPr>
        <w:t>., 2016</w:t>
      </w:r>
      <w:r w:rsidRPr="00EE2468">
        <w:rPr>
          <w:lang w:val="en-US"/>
        </w:rPr>
        <w:t xml:space="preserve">). </w:t>
      </w:r>
      <w:r>
        <w:t>Выбор хирургической процедуры должен учитывать опыт врачебной команды, наличие аневризмы корня аорты, особенностей створок, ожидаемую продолжительность жизни и желательную антикоагулянтную терапию.</w:t>
      </w:r>
    </w:p>
    <w:p w:rsidR="00CC2F0B" w:rsidRDefault="00CC2F0B" w:rsidP="00CC2F0B">
      <w:pPr>
        <w:tabs>
          <w:tab w:val="left" w:pos="0"/>
        </w:tabs>
        <w:rPr>
          <w:shd w:val="clear" w:color="auto" w:fill="FFFFFF"/>
        </w:rPr>
      </w:pPr>
      <w:r>
        <w:tab/>
      </w:r>
      <w:r>
        <w:rPr>
          <w:shd w:val="clear" w:color="auto" w:fill="FFFFFF"/>
        </w:rPr>
        <w:t>Одним из показателей успешного протезирования клапанов аорты является обратное развитие гипертрофии миокарда. Однако</w:t>
      </w:r>
      <w:proofErr w:type="gramStart"/>
      <w:r>
        <w:rPr>
          <w:shd w:val="clear" w:color="auto" w:fill="FFFFFF"/>
        </w:rPr>
        <w:t>,</w:t>
      </w:r>
      <w:proofErr w:type="gramEnd"/>
      <w:r>
        <w:rPr>
          <w:shd w:val="clear" w:color="auto" w:fill="FFFFFF"/>
        </w:rPr>
        <w:t xml:space="preserve"> до настоящего времени вопрос влияния геометрии ЛЖ на течение послеоперационного периода остается дискуссионным. Авторы немногочисленных исследований на данную тему отмечают, что концентрическая гипертрофия миокарда ЛЖ представляет собой фактор риска для ранней послеоперационной летальности (</w:t>
      </w:r>
      <w:r w:rsidRPr="00A12540">
        <w:rPr>
          <w:lang w:val="en-US"/>
        </w:rPr>
        <w:t>Lamb</w:t>
      </w:r>
      <w:r w:rsidRPr="00471079">
        <w:t xml:space="preserve"> </w:t>
      </w:r>
      <w:r w:rsidRPr="00A12540">
        <w:rPr>
          <w:lang w:val="en-US"/>
        </w:rPr>
        <w:t>H</w:t>
      </w:r>
      <w:r w:rsidRPr="00471079">
        <w:t>.</w:t>
      </w:r>
      <w:r w:rsidRPr="00A12540">
        <w:rPr>
          <w:lang w:val="en-US"/>
        </w:rPr>
        <w:t>J</w:t>
      </w:r>
      <w:r>
        <w:t xml:space="preserve">. </w:t>
      </w:r>
      <w:r w:rsidRPr="00A12540">
        <w:rPr>
          <w:lang w:val="en-US"/>
        </w:rPr>
        <w:t>et</w:t>
      </w:r>
      <w:r w:rsidRPr="00471079">
        <w:t xml:space="preserve"> </w:t>
      </w:r>
      <w:r w:rsidRPr="00A12540">
        <w:rPr>
          <w:lang w:val="en-US"/>
        </w:rPr>
        <w:t>al</w:t>
      </w:r>
      <w:r>
        <w:t>., 2002</w:t>
      </w:r>
      <w:r>
        <w:rPr>
          <w:shd w:val="clear" w:color="auto" w:fill="FFFFFF"/>
        </w:rPr>
        <w:t xml:space="preserve">). При этом  </w:t>
      </w:r>
      <w:r w:rsidRPr="00A12540">
        <w:rPr>
          <w:lang w:val="en-US"/>
        </w:rPr>
        <w:t>H</w:t>
      </w:r>
      <w:r w:rsidRPr="00471079">
        <w:t xml:space="preserve">. </w:t>
      </w:r>
      <w:proofErr w:type="gramStart"/>
      <w:r w:rsidRPr="00A12540">
        <w:rPr>
          <w:lang w:val="en-US"/>
        </w:rPr>
        <w:t>Iyem</w:t>
      </w:r>
      <w:r w:rsidRPr="00471079">
        <w:t xml:space="preserve"> </w:t>
      </w:r>
      <w:r>
        <w:t>с соавт.</w:t>
      </w:r>
      <w:proofErr w:type="gramEnd"/>
      <w:r>
        <w:t xml:space="preserve"> (2007) отмечают, что у пациентов с аортальной недостаточностью прогноз относительно </w:t>
      </w:r>
      <w:r>
        <w:rPr>
          <w:shd w:val="clear" w:color="auto" w:fill="FFFFFF"/>
        </w:rPr>
        <w:t>скорости и степени обратного развития изменений миокарда ЛЖ после протезирования клапанов аорты хуже, чем при  протезирован</w:t>
      </w:r>
      <w:proofErr w:type="gramStart"/>
      <w:r>
        <w:rPr>
          <w:shd w:val="clear" w:color="auto" w:fill="FFFFFF"/>
        </w:rPr>
        <w:t>ии ао</w:t>
      </w:r>
      <w:proofErr w:type="gramEnd"/>
      <w:r>
        <w:rPr>
          <w:shd w:val="clear" w:color="auto" w:fill="FFFFFF"/>
        </w:rPr>
        <w:t>ртального стеноза, хотя другие авторы не выявили значимых различий (</w:t>
      </w:r>
      <w:r w:rsidRPr="008C2334">
        <w:rPr>
          <w:lang w:val="en-US"/>
        </w:rPr>
        <w:t>Murakami</w:t>
      </w:r>
      <w:r w:rsidRPr="00E65CC0">
        <w:t xml:space="preserve"> </w:t>
      </w:r>
      <w:r w:rsidRPr="008C2334">
        <w:rPr>
          <w:lang w:val="en-US"/>
        </w:rPr>
        <w:t>T</w:t>
      </w:r>
      <w:r>
        <w:t xml:space="preserve">. </w:t>
      </w:r>
      <w:r w:rsidRPr="008C2334">
        <w:rPr>
          <w:lang w:val="en-US"/>
        </w:rPr>
        <w:t>et</w:t>
      </w:r>
      <w:r w:rsidRPr="00E65CC0">
        <w:t xml:space="preserve"> </w:t>
      </w:r>
      <w:r w:rsidRPr="008C2334">
        <w:rPr>
          <w:lang w:val="en-US"/>
        </w:rPr>
        <w:t>al</w:t>
      </w:r>
      <w:r w:rsidRPr="00E65CC0">
        <w:t>.</w:t>
      </w:r>
      <w:r>
        <w:t>, 2000</w:t>
      </w:r>
      <w:r>
        <w:rPr>
          <w:shd w:val="clear" w:color="auto" w:fill="FFFFFF"/>
        </w:rPr>
        <w:t>).</w:t>
      </w:r>
      <w:r>
        <w:br/>
      </w:r>
      <w:r>
        <w:rPr>
          <w:shd w:val="clear" w:color="auto" w:fill="FFFFFF"/>
        </w:rPr>
        <w:t xml:space="preserve">Интересные данные приводят M. Tamim и соавт. (2005), которые выявили, что после периода обратного </w:t>
      </w:r>
      <w:proofErr w:type="gramStart"/>
      <w:r>
        <w:rPr>
          <w:shd w:val="clear" w:color="auto" w:fill="FFFFFF"/>
        </w:rPr>
        <w:t>развитии</w:t>
      </w:r>
      <w:proofErr w:type="gramEnd"/>
      <w:r>
        <w:rPr>
          <w:shd w:val="clear" w:color="auto" w:fill="FFFFFF"/>
        </w:rPr>
        <w:t xml:space="preserve"> гипертрофии, к 5 годам вновь увеличивался индекс массы миокарда левого желудочка, что обьяснялось наличием гипертонии у лиц пожилого возраста.</w:t>
      </w:r>
      <w:r>
        <w:t xml:space="preserve"> </w:t>
      </w:r>
      <w:r>
        <w:rPr>
          <w:shd w:val="clear" w:color="auto" w:fill="FFFFFF"/>
        </w:rPr>
        <w:t>Ряд исследователей отмечали, что сохраняющаяся гипертрофия левого желудочка после протезирования клапанов аорты является плохим прогностическим факторов (</w:t>
      </w:r>
      <w:r w:rsidRPr="008C2334">
        <w:rPr>
          <w:lang w:val="en-US"/>
        </w:rPr>
        <w:t>Zybach</w:t>
      </w:r>
      <w:r w:rsidRPr="00E65CC0">
        <w:t>-</w:t>
      </w:r>
      <w:r w:rsidRPr="008C2334">
        <w:rPr>
          <w:lang w:val="en-US"/>
        </w:rPr>
        <w:t>Benz</w:t>
      </w:r>
      <w:r w:rsidRPr="00E65CC0">
        <w:t xml:space="preserve"> </w:t>
      </w:r>
      <w:r w:rsidRPr="008C2334">
        <w:rPr>
          <w:lang w:val="en-US"/>
        </w:rPr>
        <w:t>R</w:t>
      </w:r>
      <w:r w:rsidRPr="00E65CC0">
        <w:t>.</w:t>
      </w:r>
      <w:r w:rsidRPr="008C2334">
        <w:rPr>
          <w:lang w:val="en-US"/>
        </w:rPr>
        <w:t>E</w:t>
      </w:r>
      <w:r w:rsidRPr="00E65CC0">
        <w:t>.</w:t>
      </w:r>
      <w:r>
        <w:t xml:space="preserve"> </w:t>
      </w:r>
      <w:r w:rsidRPr="008C2334">
        <w:rPr>
          <w:lang w:val="en-US"/>
        </w:rPr>
        <w:t>et</w:t>
      </w:r>
      <w:r w:rsidRPr="00E65CC0">
        <w:t xml:space="preserve"> </w:t>
      </w:r>
      <w:r w:rsidRPr="008C2334">
        <w:rPr>
          <w:lang w:val="en-US"/>
        </w:rPr>
        <w:t>al</w:t>
      </w:r>
      <w:r w:rsidRPr="00E65CC0">
        <w:t>.</w:t>
      </w:r>
      <w:r>
        <w:t xml:space="preserve">, 2006; </w:t>
      </w:r>
      <w:proofErr w:type="gramStart"/>
      <w:r>
        <w:t>Т</w:t>
      </w:r>
      <w:proofErr w:type="gramEnd"/>
      <w:r w:rsidRPr="008C2334">
        <w:rPr>
          <w:lang w:val="en-US"/>
        </w:rPr>
        <w:t>aniguchi</w:t>
      </w:r>
      <w:r w:rsidRPr="00E65CC0">
        <w:t xml:space="preserve"> </w:t>
      </w:r>
      <w:r w:rsidRPr="008C2334">
        <w:rPr>
          <w:lang w:val="en-US"/>
        </w:rPr>
        <w:t>K</w:t>
      </w:r>
      <w:r>
        <w:t xml:space="preserve">. </w:t>
      </w:r>
      <w:r w:rsidRPr="008C2334">
        <w:rPr>
          <w:lang w:val="en-US"/>
        </w:rPr>
        <w:t>et</w:t>
      </w:r>
      <w:r w:rsidRPr="00E65CC0">
        <w:t xml:space="preserve"> </w:t>
      </w:r>
      <w:r w:rsidRPr="008C2334">
        <w:rPr>
          <w:lang w:val="en-US"/>
        </w:rPr>
        <w:t>al</w:t>
      </w:r>
      <w:r w:rsidRPr="00E65CC0">
        <w:t>.</w:t>
      </w:r>
      <w:r>
        <w:t>, 2007</w:t>
      </w:r>
      <w:r>
        <w:rPr>
          <w:shd w:val="clear" w:color="auto" w:fill="FFFFFF"/>
        </w:rPr>
        <w:t xml:space="preserve">). Отдельные авторы отмечали, что значительное уменьшение гипертрофии миокарда отмечалось уже в течение первых 18 </w:t>
      </w:r>
      <w:proofErr w:type="gramStart"/>
      <w:r>
        <w:rPr>
          <w:shd w:val="clear" w:color="auto" w:fill="FFFFFF"/>
        </w:rPr>
        <w:t>мес</w:t>
      </w:r>
      <w:proofErr w:type="gramEnd"/>
      <w:r>
        <w:rPr>
          <w:shd w:val="clear" w:color="auto" w:fill="FFFFFF"/>
        </w:rPr>
        <w:t>, но к норме возвратилось лишь в единичных случаях (</w:t>
      </w:r>
      <w:r w:rsidRPr="008C2334">
        <w:rPr>
          <w:lang w:val="en-US"/>
        </w:rPr>
        <w:t>Lund</w:t>
      </w:r>
      <w:r w:rsidRPr="00E65CC0">
        <w:t xml:space="preserve"> </w:t>
      </w:r>
      <w:r w:rsidRPr="008C2334">
        <w:rPr>
          <w:lang w:val="en-US"/>
        </w:rPr>
        <w:t>O</w:t>
      </w:r>
      <w:r w:rsidRPr="00E65CC0">
        <w:t xml:space="preserve">., </w:t>
      </w:r>
      <w:r w:rsidRPr="008C2334">
        <w:rPr>
          <w:lang w:val="en-US"/>
        </w:rPr>
        <w:t>Erlandsen</w:t>
      </w:r>
      <w:r w:rsidRPr="00E65CC0">
        <w:t xml:space="preserve"> </w:t>
      </w:r>
      <w:r w:rsidRPr="008C2334">
        <w:rPr>
          <w:lang w:val="en-US"/>
        </w:rPr>
        <w:t>M</w:t>
      </w:r>
      <w:r w:rsidRPr="00E65CC0">
        <w:t>.</w:t>
      </w:r>
      <w:r>
        <w:t>, 2000)</w:t>
      </w:r>
      <w:r>
        <w:rPr>
          <w:shd w:val="clear" w:color="auto" w:fill="FFFFFF"/>
        </w:rPr>
        <w:t>.</w:t>
      </w:r>
      <w:r w:rsidRPr="00471079">
        <w:rPr>
          <w:shd w:val="clear" w:color="auto" w:fill="FFFFFF"/>
        </w:rPr>
        <w:t xml:space="preserve"> </w:t>
      </w:r>
    </w:p>
    <w:p w:rsidR="00CC2F0B" w:rsidRDefault="00CC2F0B" w:rsidP="00CC2F0B">
      <w:pPr>
        <w:tabs>
          <w:tab w:val="left" w:pos="0"/>
        </w:tabs>
      </w:pPr>
      <w:r>
        <w:rPr>
          <w:shd w:val="clear" w:color="auto" w:fill="FFFFFF"/>
        </w:rPr>
        <w:tab/>
        <w:t>В большинстве публикаций приводятся данные, что на процесс обратного развития гипертрофии левого желудочка оказывает влияние вид протеза (</w:t>
      </w:r>
      <w:r w:rsidRPr="008C2334">
        <w:rPr>
          <w:lang w:val="en-US"/>
        </w:rPr>
        <w:t>Borger</w:t>
      </w:r>
      <w:r w:rsidRPr="00E65CC0">
        <w:t xml:space="preserve"> </w:t>
      </w:r>
      <w:r w:rsidRPr="008C2334">
        <w:rPr>
          <w:lang w:val="en-US"/>
        </w:rPr>
        <w:t>M</w:t>
      </w:r>
      <w:r w:rsidRPr="00E65CC0">
        <w:t>.</w:t>
      </w:r>
      <w:r w:rsidRPr="008C2334">
        <w:rPr>
          <w:lang w:val="en-US"/>
        </w:rPr>
        <w:t>A</w:t>
      </w:r>
      <w:r>
        <w:t xml:space="preserve">. </w:t>
      </w:r>
      <w:r w:rsidRPr="008C2334">
        <w:rPr>
          <w:lang w:val="en-US"/>
        </w:rPr>
        <w:t>et</w:t>
      </w:r>
      <w:r w:rsidRPr="00E65CC0">
        <w:t xml:space="preserve"> </w:t>
      </w:r>
      <w:r w:rsidRPr="008C2334">
        <w:rPr>
          <w:lang w:val="en-US"/>
        </w:rPr>
        <w:t>al</w:t>
      </w:r>
      <w:r w:rsidRPr="00E65CC0">
        <w:t>.</w:t>
      </w:r>
      <w:r>
        <w:t xml:space="preserve">, 2005; </w:t>
      </w:r>
      <w:r w:rsidRPr="008C2334">
        <w:rPr>
          <w:lang w:val="en-US"/>
        </w:rPr>
        <w:t>Ennker</w:t>
      </w:r>
      <w:r w:rsidRPr="00E65CC0">
        <w:t xml:space="preserve"> </w:t>
      </w:r>
      <w:r w:rsidRPr="008C2334">
        <w:rPr>
          <w:lang w:val="en-US"/>
        </w:rPr>
        <w:t>J</w:t>
      </w:r>
      <w:r>
        <w:t xml:space="preserve">. </w:t>
      </w:r>
      <w:r w:rsidRPr="008C2334">
        <w:rPr>
          <w:lang w:val="en-US"/>
        </w:rPr>
        <w:t>et</w:t>
      </w:r>
      <w:r w:rsidRPr="00E65CC0">
        <w:t xml:space="preserve"> </w:t>
      </w:r>
      <w:r w:rsidRPr="008C2334">
        <w:rPr>
          <w:lang w:val="en-US"/>
        </w:rPr>
        <w:t>al</w:t>
      </w:r>
      <w:r w:rsidRPr="00E65CC0">
        <w:t>.</w:t>
      </w:r>
      <w:r>
        <w:t>, 2006</w:t>
      </w:r>
      <w:r>
        <w:rPr>
          <w:shd w:val="clear" w:color="auto" w:fill="FFFFFF"/>
        </w:rPr>
        <w:t xml:space="preserve">). Так, в ряде исследований было показано, что при использовании бескаркасных </w:t>
      </w:r>
      <w:r>
        <w:rPr>
          <w:shd w:val="clear" w:color="auto" w:fill="FFFFFF"/>
        </w:rPr>
        <w:lastRenderedPageBreak/>
        <w:t>биопротезов отмечалось более полное обратное развитие гипертрофии левого желудочка, чем при использовании других видов протезов (</w:t>
      </w:r>
      <w:r w:rsidRPr="008C2334">
        <w:rPr>
          <w:lang w:val="en-US"/>
        </w:rPr>
        <w:t>Jin</w:t>
      </w:r>
      <w:r w:rsidRPr="00E65CC0">
        <w:t xml:space="preserve"> </w:t>
      </w:r>
      <w:r w:rsidRPr="008C2334">
        <w:rPr>
          <w:lang w:val="en-US"/>
        </w:rPr>
        <w:t>X</w:t>
      </w:r>
      <w:r w:rsidRPr="00E65CC0">
        <w:t>.</w:t>
      </w:r>
      <w:r w:rsidRPr="008C2334">
        <w:rPr>
          <w:lang w:val="en-US"/>
        </w:rPr>
        <w:t>Y</w:t>
      </w:r>
      <w:r w:rsidRPr="00E65CC0">
        <w:t xml:space="preserve">, </w:t>
      </w:r>
      <w:r w:rsidRPr="008C2334">
        <w:rPr>
          <w:lang w:val="en-US"/>
        </w:rPr>
        <w:t>Pepper</w:t>
      </w:r>
      <w:r w:rsidRPr="00E65CC0">
        <w:t xml:space="preserve"> </w:t>
      </w:r>
      <w:r w:rsidRPr="008C2334">
        <w:rPr>
          <w:lang w:val="en-US"/>
        </w:rPr>
        <w:t>J</w:t>
      </w:r>
      <w:r w:rsidRPr="00E65CC0">
        <w:t>.</w:t>
      </w:r>
      <w:r w:rsidRPr="008C2334">
        <w:rPr>
          <w:lang w:val="en-US"/>
        </w:rPr>
        <w:t>R</w:t>
      </w:r>
      <w:r w:rsidRPr="00E65CC0">
        <w:t>.</w:t>
      </w:r>
      <w:r>
        <w:t>, 2002</w:t>
      </w:r>
      <w:r>
        <w:rPr>
          <w:shd w:val="clear" w:color="auto" w:fill="FFFFFF"/>
        </w:rPr>
        <w:t>). Однако</w:t>
      </w:r>
      <w:proofErr w:type="gramStart"/>
      <w:r>
        <w:rPr>
          <w:shd w:val="clear" w:color="auto" w:fill="FFFFFF"/>
        </w:rPr>
        <w:t>,</w:t>
      </w:r>
      <w:proofErr w:type="gramEnd"/>
      <w:r>
        <w:rPr>
          <w:shd w:val="clear" w:color="auto" w:fill="FFFFFF"/>
        </w:rPr>
        <w:t xml:space="preserve"> в других исследованиях никакого влияния вида протеза на обратное развитие гипертрофии левого желудочка выявлено не было (</w:t>
      </w:r>
      <w:r w:rsidRPr="001765F8">
        <w:rPr>
          <w:lang w:val="en-US"/>
        </w:rPr>
        <w:t>Tamim</w:t>
      </w:r>
      <w:r w:rsidRPr="002013FB">
        <w:t xml:space="preserve"> </w:t>
      </w:r>
      <w:r w:rsidRPr="001765F8">
        <w:rPr>
          <w:lang w:val="en-US"/>
        </w:rPr>
        <w:t>M</w:t>
      </w:r>
      <w:r>
        <w:t xml:space="preserve">. </w:t>
      </w:r>
      <w:r w:rsidRPr="001765F8">
        <w:rPr>
          <w:lang w:val="en-US"/>
        </w:rPr>
        <w:t>et</w:t>
      </w:r>
      <w:r w:rsidRPr="002013FB">
        <w:t xml:space="preserve"> </w:t>
      </w:r>
      <w:r w:rsidRPr="001765F8">
        <w:rPr>
          <w:lang w:val="en-US"/>
        </w:rPr>
        <w:t>al</w:t>
      </w:r>
      <w:r w:rsidRPr="002013FB">
        <w:t>.</w:t>
      </w:r>
      <w:r>
        <w:t xml:space="preserve">, 2005; </w:t>
      </w:r>
      <w:r w:rsidRPr="001765F8">
        <w:rPr>
          <w:lang w:val="en-US"/>
        </w:rPr>
        <w:t>Risteski</w:t>
      </w:r>
      <w:r w:rsidRPr="002013FB">
        <w:t xml:space="preserve"> </w:t>
      </w:r>
      <w:r w:rsidRPr="001765F8">
        <w:rPr>
          <w:lang w:val="en-US"/>
        </w:rPr>
        <w:t>P</w:t>
      </w:r>
      <w:r>
        <w:t>.</w:t>
      </w:r>
      <w:r w:rsidRPr="001765F8">
        <w:rPr>
          <w:lang w:val="en-US"/>
        </w:rPr>
        <w:t>S</w:t>
      </w:r>
      <w:r>
        <w:t>.</w:t>
      </w:r>
      <w:r w:rsidRPr="002013FB">
        <w:t xml:space="preserve"> </w:t>
      </w:r>
      <w:r w:rsidRPr="001765F8">
        <w:rPr>
          <w:lang w:val="en-US"/>
        </w:rPr>
        <w:t>et</w:t>
      </w:r>
      <w:r w:rsidRPr="002013FB">
        <w:t xml:space="preserve"> </w:t>
      </w:r>
      <w:r w:rsidRPr="001765F8">
        <w:rPr>
          <w:lang w:val="en-US"/>
        </w:rPr>
        <w:t>al</w:t>
      </w:r>
      <w:r w:rsidRPr="002013FB">
        <w:t>.</w:t>
      </w:r>
      <w:r>
        <w:t>, 2009</w:t>
      </w:r>
      <w:r>
        <w:rPr>
          <w:shd w:val="clear" w:color="auto" w:fill="FFFFFF"/>
        </w:rPr>
        <w:t>).</w:t>
      </w:r>
      <w:r>
        <w:t xml:space="preserve"> </w:t>
      </w:r>
      <w:r>
        <w:rPr>
          <w:shd w:val="clear" w:color="auto" w:fill="FFFFFF"/>
        </w:rPr>
        <w:t xml:space="preserve">Кроме того, существует мнение, что </w:t>
      </w:r>
      <w:proofErr w:type="gramStart"/>
      <w:r>
        <w:rPr>
          <w:shd w:val="clear" w:color="auto" w:fill="FFFFFF"/>
        </w:rPr>
        <w:t>что</w:t>
      </w:r>
      <w:proofErr w:type="gramEnd"/>
      <w:r>
        <w:rPr>
          <w:shd w:val="clear" w:color="auto" w:fill="FFFFFF"/>
        </w:rPr>
        <w:t xml:space="preserve"> размер протеза также может оказывать влияние на эффективность хирургической реабилитации пациентов с аортальной недостаточностью. Например, в послеоперационном периоде может возникнуть несоответствие, обозначаемое в профессиональной литературе как «протез-пациент», при котором гемодинамические свойства протеза  оказываются недостаточными для обеспечения необходимого объёма кровотока у конкретного пациента (</w:t>
      </w:r>
      <w:r>
        <w:t>Варясин В.В.</w:t>
      </w:r>
      <w:r w:rsidRPr="003D6727">
        <w:t>, Евдокимова</w:t>
      </w:r>
      <w:r>
        <w:t xml:space="preserve"> </w:t>
      </w:r>
      <w:r w:rsidRPr="003D6727">
        <w:t>А.Г.</w:t>
      </w:r>
      <w:r>
        <w:t>, 2010</w:t>
      </w:r>
      <w:r>
        <w:rPr>
          <w:shd w:val="clear" w:color="auto" w:fill="FFFFFF"/>
        </w:rPr>
        <w:t>).</w:t>
      </w:r>
      <w:r>
        <w:t xml:space="preserve"> </w:t>
      </w:r>
      <w:r>
        <w:rPr>
          <w:shd w:val="clear" w:color="auto" w:fill="FFFFFF"/>
        </w:rPr>
        <w:t xml:space="preserve">Это несоответствие может оказывать негативное </w:t>
      </w:r>
      <w:proofErr w:type="gramStart"/>
      <w:r>
        <w:rPr>
          <w:shd w:val="clear" w:color="auto" w:fill="FFFFFF"/>
        </w:rPr>
        <w:t>влияние</w:t>
      </w:r>
      <w:proofErr w:type="gramEnd"/>
      <w:r>
        <w:rPr>
          <w:shd w:val="clear" w:color="auto" w:fill="FFFFFF"/>
        </w:rPr>
        <w:t xml:space="preserve"> как на обратное развитие гипертрофии левого желудочка, так и на выживаемости больных (</w:t>
      </w:r>
      <w:r w:rsidRPr="001765F8">
        <w:rPr>
          <w:lang w:val="en-US"/>
        </w:rPr>
        <w:t>Kulik</w:t>
      </w:r>
      <w:r w:rsidRPr="002013FB">
        <w:t xml:space="preserve"> </w:t>
      </w:r>
      <w:r w:rsidRPr="001765F8">
        <w:rPr>
          <w:lang w:val="en-US"/>
        </w:rPr>
        <w:t>A</w:t>
      </w:r>
      <w:r>
        <w:t xml:space="preserve">. </w:t>
      </w:r>
      <w:r w:rsidRPr="001765F8">
        <w:rPr>
          <w:lang w:val="en-US"/>
        </w:rPr>
        <w:t>et</w:t>
      </w:r>
      <w:r w:rsidRPr="002013FB">
        <w:t xml:space="preserve"> </w:t>
      </w:r>
      <w:r w:rsidRPr="001765F8">
        <w:rPr>
          <w:lang w:val="en-US"/>
        </w:rPr>
        <w:t>al</w:t>
      </w:r>
      <w:r w:rsidRPr="002013FB">
        <w:t>.</w:t>
      </w:r>
      <w:r>
        <w:t>, 2006;</w:t>
      </w:r>
      <w:r w:rsidRPr="002013FB">
        <w:t xml:space="preserve"> </w:t>
      </w:r>
      <w:r w:rsidRPr="001765F8">
        <w:rPr>
          <w:lang w:val="en-US"/>
        </w:rPr>
        <w:t>Ruel</w:t>
      </w:r>
      <w:r w:rsidRPr="002013FB">
        <w:t xml:space="preserve"> </w:t>
      </w:r>
      <w:r w:rsidRPr="001765F8">
        <w:rPr>
          <w:lang w:val="en-US"/>
        </w:rPr>
        <w:t>M</w:t>
      </w:r>
      <w:r>
        <w:t xml:space="preserve">. </w:t>
      </w:r>
      <w:r w:rsidRPr="001765F8">
        <w:rPr>
          <w:lang w:val="en-US"/>
        </w:rPr>
        <w:t>et</w:t>
      </w:r>
      <w:r w:rsidRPr="002013FB">
        <w:t xml:space="preserve"> </w:t>
      </w:r>
      <w:r w:rsidRPr="001765F8">
        <w:rPr>
          <w:lang w:val="en-US"/>
        </w:rPr>
        <w:t>al</w:t>
      </w:r>
      <w:r w:rsidRPr="002013FB">
        <w:t>.</w:t>
      </w:r>
      <w:r>
        <w:t>, 2006</w:t>
      </w:r>
      <w:r>
        <w:rPr>
          <w:shd w:val="clear" w:color="auto" w:fill="FFFFFF"/>
        </w:rPr>
        <w:t>).</w:t>
      </w:r>
    </w:p>
    <w:p w:rsidR="00CC2F0B" w:rsidRDefault="00CC2F0B" w:rsidP="00CC2F0B">
      <w:pPr>
        <w:tabs>
          <w:tab w:val="left" w:pos="0"/>
        </w:tabs>
        <w:rPr>
          <w:shd w:val="clear" w:color="auto" w:fill="FFFFFF"/>
        </w:rPr>
      </w:pPr>
      <w:r>
        <w:tab/>
      </w:r>
      <w:r>
        <w:rPr>
          <w:shd w:val="clear" w:color="auto" w:fill="FFFFFF"/>
        </w:rPr>
        <w:t>Одним из показателей эффективности оперативного вмешательства в кардиохирургии считается показатель летальности. У пациентов после протезирования клапанов аорты величина этого показателя зависит от ряда причин: возраст пациентов старше 75 лет, женский пол, степень сердечной и аортальной недостаточности, коронарная болезнь трёх артерий, низкая фракция выброса до операции, инфекционный эндокардит, дооперационная кардиостимуляция, длительность искусственного кровообращения (</w:t>
      </w:r>
      <w:r w:rsidRPr="003D6727">
        <w:rPr>
          <w:lang w:val="en-US"/>
        </w:rPr>
        <w:t>Allareddy</w:t>
      </w:r>
      <w:r w:rsidRPr="00A579C2">
        <w:t xml:space="preserve"> </w:t>
      </w:r>
      <w:r w:rsidRPr="003D6727">
        <w:rPr>
          <w:lang w:val="en-US"/>
        </w:rPr>
        <w:t>V</w:t>
      </w:r>
      <w:r>
        <w:t xml:space="preserve">. </w:t>
      </w:r>
      <w:r w:rsidRPr="003D6727">
        <w:rPr>
          <w:lang w:val="en-US"/>
        </w:rPr>
        <w:t>et</w:t>
      </w:r>
      <w:r w:rsidRPr="00A579C2">
        <w:t xml:space="preserve"> </w:t>
      </w:r>
      <w:r w:rsidRPr="003D6727">
        <w:rPr>
          <w:lang w:val="en-US"/>
        </w:rPr>
        <w:t>al</w:t>
      </w:r>
      <w:r w:rsidRPr="00A579C2">
        <w:t>.</w:t>
      </w:r>
      <w:r>
        <w:t>, 2007</w:t>
      </w:r>
      <w:r>
        <w:rPr>
          <w:shd w:val="clear" w:color="auto" w:fill="FFFFFF"/>
        </w:rPr>
        <w:t xml:space="preserve">). Кроме того,  Y.S. Tjang и соавт. (2007) в число факторов риска неблагоприятного исхода хирургического вмешательства у пациентов с недостаточностью клапанов аорты включил протезирование с помощью механических клапанов, а также  размер протеза клапана аорты. </w:t>
      </w:r>
    </w:p>
    <w:p w:rsidR="00CC2F0B" w:rsidRDefault="00CC2F0B" w:rsidP="00CC2F0B">
      <w:pPr>
        <w:tabs>
          <w:tab w:val="left" w:pos="0"/>
        </w:tabs>
        <w:rPr>
          <w:shd w:val="clear" w:color="auto" w:fill="FFFFFF"/>
        </w:rPr>
      </w:pPr>
      <w:r>
        <w:rPr>
          <w:shd w:val="clear" w:color="auto" w:fill="FFFFFF"/>
        </w:rPr>
        <w:tab/>
      </w:r>
      <w:proofErr w:type="gramStart"/>
      <w:r>
        <w:rPr>
          <w:shd w:val="clear" w:color="auto" w:fill="FFFFFF"/>
        </w:rPr>
        <w:t xml:space="preserve">В целом, по данным литературы, госпитальная летальность при протезировании аортального клапана у пациентов с аортальной недостаточностью выше, чем при аортальном стенозе – в среднем она </w:t>
      </w:r>
      <w:r>
        <w:rPr>
          <w:shd w:val="clear" w:color="auto" w:fill="FFFFFF"/>
        </w:rPr>
        <w:lastRenderedPageBreak/>
        <w:t>составляет около 6% (</w:t>
      </w:r>
      <w:r w:rsidRPr="003D6727">
        <w:rPr>
          <w:lang w:val="en-US"/>
        </w:rPr>
        <w:t>Melby</w:t>
      </w:r>
      <w:r w:rsidRPr="00A579C2">
        <w:t xml:space="preserve"> </w:t>
      </w:r>
      <w:r w:rsidRPr="003D6727">
        <w:rPr>
          <w:lang w:val="en-US"/>
        </w:rPr>
        <w:t>S</w:t>
      </w:r>
      <w:r w:rsidRPr="00A579C2">
        <w:t>.</w:t>
      </w:r>
      <w:r w:rsidRPr="003D6727">
        <w:rPr>
          <w:lang w:val="en-US"/>
        </w:rPr>
        <w:t>J</w:t>
      </w:r>
      <w:r>
        <w:t xml:space="preserve">. </w:t>
      </w:r>
      <w:r w:rsidRPr="003D6727">
        <w:rPr>
          <w:lang w:val="en-US"/>
        </w:rPr>
        <w:t>et</w:t>
      </w:r>
      <w:r w:rsidRPr="00A579C2">
        <w:t xml:space="preserve"> </w:t>
      </w:r>
      <w:r w:rsidRPr="003D6727">
        <w:rPr>
          <w:lang w:val="en-US"/>
        </w:rPr>
        <w:t>al</w:t>
      </w:r>
      <w:r w:rsidRPr="00A579C2">
        <w:t>.</w:t>
      </w:r>
      <w:r>
        <w:t>,2007;</w:t>
      </w:r>
      <w:r w:rsidRPr="00A579C2">
        <w:t xml:space="preserve"> </w:t>
      </w:r>
      <w:r w:rsidRPr="003D6727">
        <w:rPr>
          <w:lang w:val="en-US"/>
        </w:rPr>
        <w:t>Urso</w:t>
      </w:r>
      <w:r w:rsidRPr="00A579C2">
        <w:t xml:space="preserve"> </w:t>
      </w:r>
      <w:r w:rsidRPr="003D6727">
        <w:rPr>
          <w:lang w:val="en-US"/>
        </w:rPr>
        <w:t>S</w:t>
      </w:r>
      <w:r>
        <w:t xml:space="preserve">. </w:t>
      </w:r>
      <w:r w:rsidRPr="003D6727">
        <w:rPr>
          <w:lang w:val="en-US"/>
        </w:rPr>
        <w:t>et</w:t>
      </w:r>
      <w:r w:rsidRPr="00A579C2">
        <w:t xml:space="preserve"> </w:t>
      </w:r>
      <w:r w:rsidRPr="003D6727">
        <w:rPr>
          <w:lang w:val="en-US"/>
        </w:rPr>
        <w:t>al</w:t>
      </w:r>
      <w:r w:rsidRPr="00A579C2">
        <w:t>.</w:t>
      </w:r>
      <w:r>
        <w:t>, 2007</w:t>
      </w:r>
      <w:r>
        <w:rPr>
          <w:shd w:val="clear" w:color="auto" w:fill="FFFFFF"/>
        </w:rPr>
        <w:t>), а у пациентов старческого возраста она достигает 8-9% (</w:t>
      </w:r>
      <w:r w:rsidRPr="003D6727">
        <w:rPr>
          <w:lang w:val="en-US"/>
        </w:rPr>
        <w:t>Chiappini</w:t>
      </w:r>
      <w:r w:rsidRPr="00A579C2">
        <w:t xml:space="preserve"> </w:t>
      </w:r>
      <w:r w:rsidRPr="003D6727">
        <w:rPr>
          <w:lang w:val="en-US"/>
        </w:rPr>
        <w:t>B</w:t>
      </w:r>
      <w:r>
        <w:t xml:space="preserve">. </w:t>
      </w:r>
      <w:r w:rsidRPr="003D6727">
        <w:rPr>
          <w:lang w:val="en-US"/>
        </w:rPr>
        <w:t>et</w:t>
      </w:r>
      <w:r w:rsidRPr="00A579C2">
        <w:t xml:space="preserve"> </w:t>
      </w:r>
      <w:r w:rsidRPr="003D6727">
        <w:rPr>
          <w:lang w:val="en-US"/>
        </w:rPr>
        <w:t>al</w:t>
      </w:r>
      <w:r w:rsidRPr="00A579C2">
        <w:t>.</w:t>
      </w:r>
      <w:r>
        <w:t>, 2004</w:t>
      </w:r>
      <w:r>
        <w:rPr>
          <w:shd w:val="clear" w:color="auto" w:fill="FFFFFF"/>
        </w:rPr>
        <w:t xml:space="preserve">). </w:t>
      </w:r>
      <w:proofErr w:type="gramEnd"/>
    </w:p>
    <w:p w:rsidR="00CC2F0B" w:rsidRDefault="00CC2F0B" w:rsidP="00CC2F0B">
      <w:pPr>
        <w:tabs>
          <w:tab w:val="left" w:pos="0"/>
        </w:tabs>
      </w:pPr>
      <w:r>
        <w:rPr>
          <w:shd w:val="clear" w:color="auto" w:fill="FFFFFF"/>
        </w:rPr>
        <w:tab/>
        <w:t xml:space="preserve">В последние годы в кардиохирургии все шире начали применяться операции транскатетерной имплантации (ТИАК) у пациентов с аортальной недостаточностью, имеющих противопоказания к классическому вмешательству. </w:t>
      </w:r>
      <w:r>
        <w:t>В группе пациентов высокого риска ТИАК является допустимой альтернативой хирургической операции (</w:t>
      </w:r>
      <w:r w:rsidRPr="007519F9">
        <w:rPr>
          <w:lang w:val="en-US"/>
        </w:rPr>
        <w:t>Smith</w:t>
      </w:r>
      <w:r w:rsidRPr="008F54A9">
        <w:t xml:space="preserve"> </w:t>
      </w:r>
      <w:r w:rsidRPr="007519F9">
        <w:rPr>
          <w:lang w:val="en-US"/>
        </w:rPr>
        <w:t>C</w:t>
      </w:r>
      <w:r w:rsidRPr="008F54A9">
        <w:t>.</w:t>
      </w:r>
      <w:r w:rsidRPr="007519F9">
        <w:rPr>
          <w:lang w:val="en-US"/>
        </w:rPr>
        <w:t>R</w:t>
      </w:r>
      <w:r>
        <w:t xml:space="preserve">. </w:t>
      </w:r>
      <w:r w:rsidRPr="007519F9">
        <w:rPr>
          <w:lang w:val="en-US"/>
        </w:rPr>
        <w:t>et</w:t>
      </w:r>
      <w:r w:rsidRPr="008F54A9">
        <w:t xml:space="preserve"> </w:t>
      </w:r>
      <w:r w:rsidRPr="007519F9">
        <w:rPr>
          <w:lang w:val="en-US"/>
        </w:rPr>
        <w:t>al</w:t>
      </w:r>
      <w:r w:rsidRPr="008F54A9">
        <w:t>.,</w:t>
      </w:r>
      <w:r>
        <w:t xml:space="preserve"> 2011). В выполненных ранее исследованиях было показано, что у неоперабельных пациентов выполнение ТИАК сопровождается 45% снижением риска смертности в течение 1 года после вмешательства (</w:t>
      </w:r>
      <w:r w:rsidRPr="000B5217">
        <w:rPr>
          <w:lang w:val="en-US"/>
        </w:rPr>
        <w:t>Leon</w:t>
      </w:r>
      <w:r w:rsidRPr="008F54A9">
        <w:t xml:space="preserve"> </w:t>
      </w:r>
      <w:r w:rsidRPr="000B5217">
        <w:rPr>
          <w:lang w:val="en-US"/>
        </w:rPr>
        <w:t>M</w:t>
      </w:r>
      <w:r w:rsidRPr="008F54A9">
        <w:t>.</w:t>
      </w:r>
      <w:r w:rsidRPr="000B5217">
        <w:rPr>
          <w:lang w:val="en-US"/>
        </w:rPr>
        <w:t>B</w:t>
      </w:r>
      <w:r>
        <w:t xml:space="preserve">. </w:t>
      </w:r>
      <w:r w:rsidRPr="000B5217">
        <w:rPr>
          <w:lang w:val="en-US"/>
        </w:rPr>
        <w:t>et</w:t>
      </w:r>
      <w:r w:rsidRPr="008F54A9">
        <w:t xml:space="preserve"> </w:t>
      </w:r>
      <w:r w:rsidRPr="000B5217">
        <w:rPr>
          <w:lang w:val="en-US"/>
        </w:rPr>
        <w:t>al</w:t>
      </w:r>
      <w:r w:rsidRPr="008F54A9">
        <w:t>.,</w:t>
      </w:r>
      <w:r>
        <w:t xml:space="preserve"> 2010). Боле того, результаты исследования PARTNER и Medtronic CoreValve U.S. Pivotal Trial убедительно продемонстрировали преимущества ТИАК по </w:t>
      </w:r>
      <w:proofErr w:type="gramStart"/>
      <w:r>
        <w:t>сравнению</w:t>
      </w:r>
      <w:proofErr w:type="gramEnd"/>
      <w:r>
        <w:t xml:space="preserve"> как с медикаментозным, так и хирургическим лечением больных с крайне высоким операционным риском (</w:t>
      </w:r>
      <w:r w:rsidRPr="007519F9">
        <w:rPr>
          <w:lang w:val="en-US"/>
        </w:rPr>
        <w:t>Lunardi</w:t>
      </w:r>
      <w:r w:rsidRPr="008F54A9">
        <w:t xml:space="preserve"> </w:t>
      </w:r>
      <w:r w:rsidRPr="007519F9">
        <w:rPr>
          <w:lang w:val="en-US"/>
        </w:rPr>
        <w:t>M</w:t>
      </w:r>
      <w:r>
        <w:t xml:space="preserve">. </w:t>
      </w:r>
      <w:r w:rsidRPr="007519F9">
        <w:rPr>
          <w:lang w:val="en-US"/>
        </w:rPr>
        <w:t>et</w:t>
      </w:r>
      <w:r w:rsidRPr="008F54A9">
        <w:t xml:space="preserve"> </w:t>
      </w:r>
      <w:r w:rsidRPr="007519F9">
        <w:rPr>
          <w:lang w:val="en-US"/>
        </w:rPr>
        <w:t>al</w:t>
      </w:r>
      <w:r w:rsidRPr="008F54A9">
        <w:t>.</w:t>
      </w:r>
      <w:r>
        <w:t xml:space="preserve">, 2016; </w:t>
      </w:r>
      <w:r w:rsidRPr="007519F9">
        <w:rPr>
          <w:lang w:val="en-US"/>
        </w:rPr>
        <w:t>Siontis</w:t>
      </w:r>
      <w:r w:rsidRPr="008F54A9">
        <w:t xml:space="preserve"> </w:t>
      </w:r>
      <w:r w:rsidRPr="007519F9">
        <w:rPr>
          <w:lang w:val="en-US"/>
        </w:rPr>
        <w:t>G</w:t>
      </w:r>
      <w:r w:rsidRPr="008F54A9">
        <w:t>.</w:t>
      </w:r>
      <w:r w:rsidRPr="007519F9">
        <w:rPr>
          <w:lang w:val="en-US"/>
        </w:rPr>
        <w:t>C</w:t>
      </w:r>
      <w:r>
        <w:t xml:space="preserve">. </w:t>
      </w:r>
      <w:r w:rsidRPr="007519F9">
        <w:rPr>
          <w:lang w:val="en-US"/>
        </w:rPr>
        <w:t>et</w:t>
      </w:r>
      <w:r w:rsidRPr="008F54A9">
        <w:t xml:space="preserve"> </w:t>
      </w:r>
      <w:r w:rsidRPr="007519F9">
        <w:rPr>
          <w:lang w:val="en-US"/>
        </w:rPr>
        <w:t>al</w:t>
      </w:r>
      <w:r w:rsidRPr="008F54A9">
        <w:t>.</w:t>
      </w:r>
      <w:r>
        <w:t>, 2016).</w:t>
      </w:r>
      <w:r w:rsidRPr="008F54A9">
        <w:t xml:space="preserve"> </w:t>
      </w:r>
      <w:proofErr w:type="gramStart"/>
      <w:r>
        <w:t>По данным ряда зарубежных авторов, ТИАК по сравнению с хирургическим способом протезирования демонстрирует существенное снижение частоты основных неблагоприятных кардиоваскулярных событий: летальных исходов – на 3%, ОНМК/ТИА – на 2%, острой почечной недостаточности – на 5%, кровотечений – на 24%, новой фибрилляции предсердий – на 18%. При этом ТИАК ассоциируется с повышением риска возникновения симптомов сердечной недостаточности (примерно на 6%), имплантации постоянного ЭКС (на 15</w:t>
      </w:r>
      <w:proofErr w:type="gramEnd"/>
      <w:r>
        <w:t>%) (</w:t>
      </w:r>
      <w:r w:rsidRPr="007519F9">
        <w:rPr>
          <w:lang w:val="en-US"/>
        </w:rPr>
        <w:t>Siemieniuk</w:t>
      </w:r>
      <w:r w:rsidRPr="00CF000F">
        <w:t xml:space="preserve"> </w:t>
      </w:r>
      <w:r w:rsidRPr="007519F9">
        <w:rPr>
          <w:lang w:val="en-US"/>
        </w:rPr>
        <w:t>R</w:t>
      </w:r>
      <w:r w:rsidRPr="00CF000F">
        <w:t>.</w:t>
      </w:r>
      <w:r w:rsidRPr="007519F9">
        <w:rPr>
          <w:lang w:val="en-US"/>
        </w:rPr>
        <w:t>A</w:t>
      </w:r>
      <w:r>
        <w:t xml:space="preserve">. </w:t>
      </w:r>
      <w:r w:rsidRPr="007519F9">
        <w:rPr>
          <w:lang w:val="en-US"/>
        </w:rPr>
        <w:t>et</w:t>
      </w:r>
      <w:r w:rsidRPr="00CF000F">
        <w:t xml:space="preserve"> </w:t>
      </w:r>
      <w:r w:rsidRPr="007519F9">
        <w:rPr>
          <w:lang w:val="en-US"/>
        </w:rPr>
        <w:t>al</w:t>
      </w:r>
      <w:r w:rsidRPr="00CF000F">
        <w:t>.</w:t>
      </w:r>
      <w:r>
        <w:t>, 2016).</w:t>
      </w:r>
      <w:r w:rsidRPr="008F54A9">
        <w:t xml:space="preserve"> </w:t>
      </w:r>
      <w:r>
        <w:t>Еще одним довольно распространенным осложнением, которое часто отмечается при ТИАК, является развитие полной АВ-блокады (</w:t>
      </w:r>
      <w:r w:rsidRPr="007519F9">
        <w:rPr>
          <w:lang w:val="en-US"/>
        </w:rPr>
        <w:t>Nishimura</w:t>
      </w:r>
      <w:r w:rsidRPr="00CF000F">
        <w:t xml:space="preserve"> </w:t>
      </w:r>
      <w:r w:rsidRPr="007519F9">
        <w:rPr>
          <w:lang w:val="en-US"/>
        </w:rPr>
        <w:t>R</w:t>
      </w:r>
      <w:r w:rsidRPr="00CF000F">
        <w:t>.</w:t>
      </w:r>
      <w:r w:rsidRPr="007519F9">
        <w:rPr>
          <w:lang w:val="en-US"/>
        </w:rPr>
        <w:t>A</w:t>
      </w:r>
      <w:r w:rsidRPr="00CF000F">
        <w:t>.</w:t>
      </w:r>
      <w:r>
        <w:t xml:space="preserve"> </w:t>
      </w:r>
      <w:r w:rsidRPr="007519F9">
        <w:rPr>
          <w:lang w:val="en-US"/>
        </w:rPr>
        <w:t>et</w:t>
      </w:r>
      <w:r w:rsidRPr="00CF000F">
        <w:t xml:space="preserve"> </w:t>
      </w:r>
      <w:r w:rsidRPr="007519F9">
        <w:rPr>
          <w:lang w:val="en-US"/>
        </w:rPr>
        <w:t>al</w:t>
      </w:r>
      <w:r w:rsidRPr="00CF000F">
        <w:t>.</w:t>
      </w:r>
      <w:r>
        <w:t>, 2017).</w:t>
      </w:r>
      <w:r w:rsidRPr="008F54A9">
        <w:t xml:space="preserve"> </w:t>
      </w:r>
      <w:r>
        <w:t>Кроме того, по данным литературы, ТИАК ассоциируется с более высоким риском рецидивов дисфункции посредством возникновения паравальвульварной регургитации или дегенерации клапана (Adams D.H. et al., 2014). Однако</w:t>
      </w:r>
      <w:proofErr w:type="gramStart"/>
      <w:r>
        <w:t>,</w:t>
      </w:r>
      <w:proofErr w:type="gramEnd"/>
      <w:r>
        <w:t xml:space="preserve"> при оценке последствий ТИАК необходимо учитывать, что на сегодняшний день основным контингентом для проведения таких операций являются пациенты старческого возраста с тяжелой коморбидной </w:t>
      </w:r>
      <w:r>
        <w:lastRenderedPageBreak/>
        <w:t>патологией, что оказывает негативное влияние на частоту развития осложнений в послеоперационном периоде, а также их выживаемость (</w:t>
      </w:r>
      <w:r w:rsidRPr="007519F9">
        <w:rPr>
          <w:lang w:val="en-US"/>
        </w:rPr>
        <w:t>Gargiulo</w:t>
      </w:r>
      <w:r w:rsidRPr="00CF000F">
        <w:t xml:space="preserve"> </w:t>
      </w:r>
      <w:r w:rsidRPr="007519F9">
        <w:rPr>
          <w:lang w:val="en-US"/>
        </w:rPr>
        <w:t>G</w:t>
      </w:r>
      <w:r>
        <w:t xml:space="preserve">. </w:t>
      </w:r>
      <w:r w:rsidRPr="007519F9">
        <w:rPr>
          <w:lang w:val="en-US"/>
        </w:rPr>
        <w:t>et</w:t>
      </w:r>
      <w:r w:rsidRPr="00CF000F">
        <w:t xml:space="preserve"> </w:t>
      </w:r>
      <w:r w:rsidRPr="007519F9">
        <w:rPr>
          <w:lang w:val="en-US"/>
        </w:rPr>
        <w:t>al</w:t>
      </w:r>
      <w:r w:rsidRPr="00CF000F">
        <w:t>.</w:t>
      </w:r>
      <w:r>
        <w:t>, 2016). По мере распространения ТИАК на когорту с промежуточным, а в перспективе, возможно, и низким хирургическим риском, очевидно, отдаленные исходы данного типа операций улучшатся, хотя они уже и сейчас сопоставимы (или даже лучше) по сравнению с классическими оперативными вмешательствами (Тарасов Р.С., Ганюков В.И., 2017).</w:t>
      </w:r>
    </w:p>
    <w:p w:rsidR="00CC2F0B" w:rsidRPr="00A579C2" w:rsidRDefault="00CC2F0B" w:rsidP="00CC2F0B">
      <w:pPr>
        <w:tabs>
          <w:tab w:val="left" w:pos="0"/>
        </w:tabs>
        <w:rPr>
          <w:shd w:val="clear" w:color="auto" w:fill="FFFFFF"/>
        </w:rPr>
      </w:pPr>
      <w:r>
        <w:tab/>
        <w:t xml:space="preserve">Следует отметить, что существующие на сегодняшний день клинические исследования и принятые показания преимущественно относятся к пациентам со стенозами аортального клапана. В то же время существуют клинические ситуации, касающиеся других групп пациентов, у которых технология может быть с успехом применена в неоперабельных случаях либо у больных высокого хирургического риска. При этом следует иметь в вид, что вмешательства при аортальной недостаточности принципиально отличаются от имплантаций у больных со стенотическими клапанными поражениями. При аортальной недостаточности размер фиброзного кольца, как правило, значительно увеличен, а количество кальция недостаточно (либо он вообще отсутствует) для надежной фиксации протеза. Из-за недостаточного количества кальция часто при имплантации </w:t>
      </w:r>
      <w:proofErr w:type="gramStart"/>
      <w:r>
        <w:t>происходит дислокация</w:t>
      </w:r>
      <w:proofErr w:type="gramEnd"/>
      <w:r>
        <w:t xml:space="preserve"> открывающегося протеза выше фиброзного кольца, что требует извлечения клапана, повторной сборки и установки. С точки зрения профилактики дислокации биопротеза при ТИАК по поводу аортальной недостаточности большее, чем при аортальном стенозе, значение имеет соблюдение высокой позиции имплантации протеза именно вследствие большого размера фиброзного кольца, а также степень оверсайзинга при выборе размера биопротеза (Протопопов</w:t>
      </w:r>
      <w:r w:rsidRPr="007519F9">
        <w:t xml:space="preserve"> </w:t>
      </w:r>
      <w:r>
        <w:t xml:space="preserve">А.В. и др., 2014; </w:t>
      </w:r>
      <w:r w:rsidRPr="00146191">
        <w:t>Имаев Т.</w:t>
      </w:r>
      <w:r>
        <w:t xml:space="preserve">Э. и др., 2015). Кроме того, в ближайшем будущем ожидается появление в клинической практике транскатетерных биопротезов, специально создаваемых для лечения изолированной аортальной недостаточности, </w:t>
      </w:r>
      <w:r>
        <w:lastRenderedPageBreak/>
        <w:t>дизайн которых предполагает иной, в дополнение к радиальной силе, механизм фиксации в аортальной позиции (</w:t>
      </w:r>
      <w:r w:rsidRPr="00146191">
        <w:rPr>
          <w:lang w:val="en-US"/>
        </w:rPr>
        <w:t>Barbanti</w:t>
      </w:r>
      <w:r w:rsidRPr="0092361B">
        <w:t xml:space="preserve"> </w:t>
      </w:r>
      <w:r w:rsidRPr="00146191">
        <w:rPr>
          <w:lang w:val="en-US"/>
        </w:rPr>
        <w:t>M</w:t>
      </w:r>
      <w:r>
        <w:t xml:space="preserve">. </w:t>
      </w:r>
      <w:r w:rsidRPr="007519F9">
        <w:rPr>
          <w:lang w:val="en-US"/>
        </w:rPr>
        <w:t>et</w:t>
      </w:r>
      <w:r w:rsidRPr="00CF000F">
        <w:t xml:space="preserve"> </w:t>
      </w:r>
      <w:r w:rsidRPr="007519F9">
        <w:rPr>
          <w:lang w:val="en-US"/>
        </w:rPr>
        <w:t>al</w:t>
      </w:r>
      <w:r w:rsidRPr="00CF000F">
        <w:t>.</w:t>
      </w:r>
      <w:r>
        <w:t>, 2013).</w:t>
      </w:r>
    </w:p>
    <w:p w:rsidR="00CC2F0B" w:rsidRPr="00A579C2" w:rsidRDefault="00CC2F0B" w:rsidP="00CC2F0B">
      <w:pPr>
        <w:tabs>
          <w:tab w:val="left" w:pos="0"/>
        </w:tabs>
        <w:rPr>
          <w:shd w:val="clear" w:color="auto" w:fill="FFFFFF"/>
        </w:rPr>
      </w:pPr>
      <w:r>
        <w:rPr>
          <w:shd w:val="clear" w:color="auto" w:fill="FFFFFF"/>
        </w:rPr>
        <w:br w:type="page"/>
      </w:r>
    </w:p>
    <w:p w:rsidR="00CC2F0B" w:rsidRPr="001537AF" w:rsidRDefault="00CC2F0B" w:rsidP="00CC2F0B">
      <w:pPr>
        <w:pStyle w:val="a7"/>
        <w:numPr>
          <w:ilvl w:val="1"/>
          <w:numId w:val="3"/>
        </w:numPr>
        <w:jc w:val="center"/>
        <w:rPr>
          <w:b/>
        </w:rPr>
      </w:pPr>
      <w:r w:rsidRPr="001537AF">
        <w:rPr>
          <w:b/>
        </w:rPr>
        <w:lastRenderedPageBreak/>
        <w:t>Виды протезов, применяемых для хирургического лечения недостаточности аортального клапана</w:t>
      </w:r>
    </w:p>
    <w:p w:rsidR="00CC2F0B" w:rsidRDefault="00CC2F0B" w:rsidP="00CC2F0B">
      <w:pPr>
        <w:ind w:firstLine="708"/>
      </w:pPr>
      <w:r w:rsidRPr="00FF3E43">
        <w:t xml:space="preserve">Протезирование клапана — собственно имплантация — заключается в замене  пораженного клапана на искусственно созданное изделие, или протез, с целью восстановления функции поврежденного клапана на длительный срок или пожизненно. Протезы клапанов сердца </w:t>
      </w:r>
      <w:r>
        <w:t xml:space="preserve">(ПКС) </w:t>
      </w:r>
      <w:r w:rsidRPr="00FF3E43">
        <w:t>предназначены для непрерывной длительной работы в организме человека в условиях постоянного контакта с кровью. Именно эти условия предъявляют к свойствам материалов для ПКС особые требования по би</w:t>
      </w:r>
      <w:proofErr w:type="gramStart"/>
      <w:r w:rsidRPr="00FF3E43">
        <w:t>о-</w:t>
      </w:r>
      <w:proofErr w:type="gramEnd"/>
      <w:r w:rsidRPr="00FF3E43">
        <w:t xml:space="preserve"> и гемосовместимости, длительности срока безотказной работы, износостойкости и неизменности формы и размеров конструктивных элементов. Конструктивное решение клапана, материалы, технология изготовления и хирургическая методика имплантации должны обеспечивать эффективность и безопасность его функционирования на протяжении срока службы, заявленного изготовителем. </w:t>
      </w:r>
    </w:p>
    <w:p w:rsidR="00CC2F0B" w:rsidRDefault="00CC2F0B" w:rsidP="00CC2F0B">
      <w:pPr>
        <w:ind w:firstLine="708"/>
      </w:pPr>
      <w:r>
        <w:t>Результаты многочисленных клинических исследований, проведенных в течение нескольких десятилетий, свидетельствуют о том, что  максимальной эффективностью и безопасностью отличается такая конструктивная форма протезов клапанов сердца, которая в наибольшей степени отвечает следующим критериям:</w:t>
      </w:r>
    </w:p>
    <w:p w:rsidR="00CC2F0B" w:rsidRDefault="00CC2F0B" w:rsidP="00CC2F0B">
      <w:r>
        <w:t>— нормальные значения перепада давления между входом и выходом протеза;</w:t>
      </w:r>
    </w:p>
    <w:p w:rsidR="00CC2F0B" w:rsidRDefault="00CC2F0B" w:rsidP="00CC2F0B">
      <w:r>
        <w:t>— сохранение физиологической структуры транспротезного потока;</w:t>
      </w:r>
    </w:p>
    <w:p w:rsidR="00CC2F0B" w:rsidRDefault="00CC2F0B" w:rsidP="00CC2F0B">
      <w:r>
        <w:t>— минимальные значения скоростей и объема обратных утечек через закрытый протез;</w:t>
      </w:r>
    </w:p>
    <w:p w:rsidR="00CC2F0B" w:rsidRDefault="00CC2F0B" w:rsidP="00CC2F0B">
      <w:r>
        <w:t xml:space="preserve">— </w:t>
      </w:r>
      <w:proofErr w:type="gramStart"/>
      <w:r>
        <w:t>полная</w:t>
      </w:r>
      <w:proofErr w:type="gramEnd"/>
      <w:r>
        <w:t xml:space="preserve"> омываемость неподвижных компонентов протеза, отсутствие зон застоя крови;</w:t>
      </w:r>
    </w:p>
    <w:p w:rsidR="00CC2F0B" w:rsidRDefault="00CC2F0B" w:rsidP="00CC2F0B">
      <w:r>
        <w:t>— износостойкость материалов, деструкцион-ная стойкость биоматериалов;</w:t>
      </w:r>
    </w:p>
    <w:p w:rsidR="00CC2F0B" w:rsidRDefault="00CC2F0B" w:rsidP="00CC2F0B">
      <w:r>
        <w:t>— постепенность (протяженность во времени) развития дисфункции протеза.</w:t>
      </w:r>
    </w:p>
    <w:p w:rsidR="00CC2F0B" w:rsidRDefault="00CC2F0B" w:rsidP="00CC2F0B">
      <w:r>
        <w:lastRenderedPageBreak/>
        <w:t>Однако</w:t>
      </w:r>
      <w:proofErr w:type="gramStart"/>
      <w:r>
        <w:t>,</w:t>
      </w:r>
      <w:proofErr w:type="gramEnd"/>
      <w:r>
        <w:t xml:space="preserve"> на сегодняшний день еще не создан протез, отвечающий всем перечисленным требованиям. Это обусловлено тем, что, по опыту предшествующих разработок, улучшение какого-либо параметра конструктивной формы протеза достигается только за счет ухудшения качества других параметров, что может приводить к снижению эффективности функционирования протеза и повышению риска развития ПКС-зависимых осложнений.</w:t>
      </w:r>
    </w:p>
    <w:p w:rsidR="00CC2F0B" w:rsidRPr="00FA066A" w:rsidRDefault="00CC2F0B" w:rsidP="00CC2F0B">
      <w:pPr>
        <w:ind w:firstLine="708"/>
      </w:pPr>
      <w:r>
        <w:rPr>
          <w:shd w:val="clear" w:color="auto" w:fill="FFFFFF"/>
        </w:rPr>
        <w:t>Все существующие в настоящее время протезы клапанов сердца делят на две группы по типам используемых при их изготовлении материалов: механические и биологические клапаны, т.е. клапаны из биологических тканей.</w:t>
      </w:r>
    </w:p>
    <w:p w:rsidR="00CC2F0B" w:rsidRDefault="00CC2F0B" w:rsidP="00CC2F0B">
      <w:pPr>
        <w:ind w:firstLine="708"/>
      </w:pPr>
      <w:r w:rsidRPr="00FA066A">
        <w:t>Механический протез клапана сердца — это протез, имеющий механический запирающий элемент в виде шара, диска, двух или трех створок</w:t>
      </w:r>
      <w:r>
        <w:t xml:space="preserve">. </w:t>
      </w:r>
      <w:proofErr w:type="gramStart"/>
      <w:r>
        <w:t>Используемые в настоящее время</w:t>
      </w:r>
      <w:r w:rsidRPr="00FF3E43">
        <w:t xml:space="preserve"> механические протезы клапана, как правило, состоят из одного или нескольких жестких запирающих элементов из углеродного материала, тонкого титанового или углеродного корпуса в форме кольца и пришивной манжеты из пористой ткани медицинского назначения (</w:t>
      </w:r>
      <w:r>
        <w:t>в основном</w:t>
      </w:r>
      <w:r w:rsidRPr="00FF3E43">
        <w:t>, из полиэфирного волокна), которая крепится к корпусу и при имплантации подшивается за свободный край к фиброзному кольцу.</w:t>
      </w:r>
      <w:proofErr w:type="gramEnd"/>
      <w:r w:rsidRPr="00FF3E43">
        <w:t xml:space="preserve"> Клапан с двумя запирающими створками — двухстворчатый </w:t>
      </w:r>
      <w:r>
        <w:t xml:space="preserve"> — может быть цели</w:t>
      </w:r>
      <w:r w:rsidRPr="00FF3E43">
        <w:t>ком</w:t>
      </w:r>
      <w:r>
        <w:t xml:space="preserve"> изготовлен </w:t>
      </w:r>
      <w:r w:rsidRPr="00FF3E43">
        <w:t>из углеродного материала (пироуглерода)</w:t>
      </w:r>
      <w:r>
        <w:t>,</w:t>
      </w:r>
      <w:r w:rsidRPr="00FF3E43">
        <w:t xml:space="preserve"> </w:t>
      </w:r>
      <w:r>
        <w:t>в</w:t>
      </w:r>
      <w:r w:rsidRPr="00FF3E43">
        <w:t xml:space="preserve"> состав </w:t>
      </w:r>
      <w:r>
        <w:t xml:space="preserve">которого </w:t>
      </w:r>
      <w:r w:rsidRPr="00FF3E43">
        <w:t xml:space="preserve">могут </w:t>
      </w:r>
      <w:r>
        <w:t>быть включены</w:t>
      </w:r>
      <w:r w:rsidRPr="00FF3E43">
        <w:t xml:space="preserve"> упрочняющие элементы (бор, кремний и т. п.). </w:t>
      </w:r>
      <w:r>
        <w:t>Однако</w:t>
      </w:r>
      <w:proofErr w:type="gramStart"/>
      <w:r>
        <w:t>,</w:t>
      </w:r>
      <w:proofErr w:type="gramEnd"/>
      <w:r>
        <w:t xml:space="preserve"> п</w:t>
      </w:r>
      <w:r w:rsidRPr="00FF3E43">
        <w:t>ироуглерод может применяться и в чистом виде, без добавок (</w:t>
      </w:r>
      <w:r>
        <w:t xml:space="preserve">как, например, в </w:t>
      </w:r>
      <w:r w:rsidRPr="00FF3E43">
        <w:t>клапан</w:t>
      </w:r>
      <w:r>
        <w:t>ах</w:t>
      </w:r>
      <w:r w:rsidRPr="00FF3E43">
        <w:t xml:space="preserve"> «On-X», США). </w:t>
      </w:r>
      <w:proofErr w:type="gramStart"/>
      <w:r>
        <w:t xml:space="preserve">Это обусловлено высокой </w:t>
      </w:r>
      <w:r w:rsidRPr="00FA066A">
        <w:t>биосовместимость</w:t>
      </w:r>
      <w:r>
        <w:t xml:space="preserve">ю данного </w:t>
      </w:r>
      <w:r w:rsidRPr="00FA066A">
        <w:t xml:space="preserve"> материала в кардиохирургии</w:t>
      </w:r>
      <w:proofErr w:type="gramEnd"/>
    </w:p>
    <w:p w:rsidR="00CC2F0B" w:rsidRDefault="00CC2F0B" w:rsidP="00CC2F0B">
      <w:pPr>
        <w:ind w:firstLine="708"/>
      </w:pPr>
      <w:r w:rsidRPr="00FF3E43">
        <w:t>Применяемые в настоящее время механические клапаны снабжены жесткими запирающими элементами. Механические клапаны с гибкими запирающими элементами остаются предметом поисковых лабораторных исс</w:t>
      </w:r>
      <w:r>
        <w:t>ледований. Для уменьшения дефор</w:t>
      </w:r>
      <w:r w:rsidRPr="00FF3E43">
        <w:t xml:space="preserve">мативности корпуса клапана из </w:t>
      </w:r>
      <w:r w:rsidRPr="00FF3E43">
        <w:lastRenderedPageBreak/>
        <w:t>углеродного материала используются металлические кольца жесткости. Протезы могут быть снабжены также поворотным устройством, расположенным между корпусом клапана и манжетой, для обеспечения свободы поворота клапана относительно манжеты (после ее пришивания к фиброзному кольцу) с целью фиксации створок в определенном анатомическом положении.</w:t>
      </w:r>
    </w:p>
    <w:p w:rsidR="00CC2F0B" w:rsidRDefault="00CC2F0B" w:rsidP="00CC2F0B">
      <w:pPr>
        <w:ind w:firstLine="708"/>
      </w:pPr>
      <w:r w:rsidRPr="00FF3E43">
        <w:t>Все механические клапаны — традиционные и современные — отличает одно общее свойство: запирающие элементы этих видов протезов или разделяют трансклапанный поток, или отклоняют его от оси. Так, протез «МИКС» с запирающим элементом в виде диска разделяет единый кровоток на два неравных потока и заметно смещает ось потока от центра проходного отверстия клапана. В двухстворчатом протезе «Sorin bicarbon» центр проходного отверстия клапана совпадает с осью потока, поэтому двухстворчатые клапаны называют клапанами с центральным потоком.</w:t>
      </w:r>
      <w:r>
        <w:t xml:space="preserve"> Особенности </w:t>
      </w:r>
      <w:r w:rsidRPr="00FA066A">
        <w:t>конструктивных форм протезов клапанов сердца</w:t>
      </w:r>
      <w:r>
        <w:t xml:space="preserve"> представлены в таблице 1.</w:t>
      </w:r>
    </w:p>
    <w:p w:rsidR="00CC2F0B" w:rsidRDefault="00CC2F0B" w:rsidP="00CC2F0B">
      <w:pPr>
        <w:ind w:firstLine="708"/>
        <w:jc w:val="right"/>
      </w:pPr>
      <w:r>
        <w:t>Таблица 1</w:t>
      </w:r>
    </w:p>
    <w:p w:rsidR="00CC2F0B" w:rsidRDefault="00CC2F0B" w:rsidP="00CC2F0B">
      <w:pPr>
        <w:ind w:firstLine="708"/>
        <w:jc w:val="center"/>
      </w:pPr>
      <w:r>
        <w:t xml:space="preserve">Особенности </w:t>
      </w:r>
      <w:r w:rsidRPr="00FA066A">
        <w:t>конструктивных форм протезов клапанов сердца</w:t>
      </w:r>
    </w:p>
    <w:tbl>
      <w:tblPr>
        <w:tblStyle w:val="aa"/>
        <w:tblW w:w="0" w:type="auto"/>
        <w:tblLayout w:type="fixed"/>
        <w:tblLook w:val="04A0"/>
      </w:tblPr>
      <w:tblGrid>
        <w:gridCol w:w="2122"/>
        <w:gridCol w:w="2409"/>
        <w:gridCol w:w="2410"/>
        <w:gridCol w:w="2404"/>
      </w:tblGrid>
      <w:tr w:rsidR="00CC2F0B" w:rsidRPr="003E7935" w:rsidTr="00057EB9">
        <w:tc>
          <w:tcPr>
            <w:tcW w:w="2122" w:type="dxa"/>
          </w:tcPr>
          <w:p w:rsidR="00CC2F0B" w:rsidRPr="003E7935" w:rsidRDefault="00CC2F0B" w:rsidP="00057EB9">
            <w:pPr>
              <w:spacing w:line="240" w:lineRule="auto"/>
              <w:jc w:val="center"/>
              <w:rPr>
                <w:sz w:val="24"/>
                <w:szCs w:val="24"/>
              </w:rPr>
            </w:pPr>
            <w:r w:rsidRPr="003E7935">
              <w:rPr>
                <w:sz w:val="24"/>
                <w:szCs w:val="24"/>
              </w:rPr>
              <w:t>Вид протеза</w:t>
            </w:r>
          </w:p>
          <w:p w:rsidR="00CC2F0B" w:rsidRPr="003E7935" w:rsidRDefault="00CC2F0B" w:rsidP="00057EB9">
            <w:pPr>
              <w:spacing w:line="240" w:lineRule="auto"/>
              <w:jc w:val="center"/>
              <w:rPr>
                <w:sz w:val="24"/>
                <w:szCs w:val="24"/>
              </w:rPr>
            </w:pPr>
          </w:p>
        </w:tc>
        <w:tc>
          <w:tcPr>
            <w:tcW w:w="2409" w:type="dxa"/>
          </w:tcPr>
          <w:p w:rsidR="00CC2F0B" w:rsidRPr="003E7935" w:rsidRDefault="00CC2F0B" w:rsidP="00057EB9">
            <w:pPr>
              <w:spacing w:line="240" w:lineRule="auto"/>
              <w:jc w:val="center"/>
              <w:rPr>
                <w:sz w:val="24"/>
                <w:szCs w:val="24"/>
              </w:rPr>
            </w:pPr>
            <w:r w:rsidRPr="003E7935">
              <w:rPr>
                <w:sz w:val="24"/>
                <w:szCs w:val="24"/>
              </w:rPr>
              <w:t>О</w:t>
            </w:r>
            <w:r>
              <w:rPr>
                <w:sz w:val="24"/>
                <w:szCs w:val="24"/>
              </w:rPr>
              <w:t>собенности конструктивной формы</w:t>
            </w:r>
          </w:p>
        </w:tc>
        <w:tc>
          <w:tcPr>
            <w:tcW w:w="2410" w:type="dxa"/>
          </w:tcPr>
          <w:p w:rsidR="00CC2F0B" w:rsidRPr="003E7935" w:rsidRDefault="00CC2F0B" w:rsidP="00057EB9">
            <w:pPr>
              <w:spacing w:line="240" w:lineRule="auto"/>
              <w:jc w:val="center"/>
              <w:rPr>
                <w:sz w:val="24"/>
                <w:szCs w:val="24"/>
              </w:rPr>
            </w:pPr>
            <w:r w:rsidRPr="003E7935">
              <w:rPr>
                <w:sz w:val="24"/>
                <w:szCs w:val="24"/>
              </w:rPr>
              <w:t>Преимущества</w:t>
            </w:r>
          </w:p>
        </w:tc>
        <w:tc>
          <w:tcPr>
            <w:tcW w:w="2404" w:type="dxa"/>
          </w:tcPr>
          <w:p w:rsidR="00CC2F0B" w:rsidRPr="003E7935" w:rsidRDefault="00CC2F0B" w:rsidP="00057EB9">
            <w:pPr>
              <w:spacing w:line="240" w:lineRule="auto"/>
              <w:jc w:val="center"/>
              <w:rPr>
                <w:sz w:val="24"/>
                <w:szCs w:val="24"/>
              </w:rPr>
            </w:pPr>
            <w:r w:rsidRPr="003E7935">
              <w:rPr>
                <w:sz w:val="24"/>
                <w:szCs w:val="24"/>
              </w:rPr>
              <w:t>Недостатки</w:t>
            </w:r>
          </w:p>
        </w:tc>
      </w:tr>
      <w:tr w:rsidR="00CC2F0B" w:rsidRPr="003E7935" w:rsidTr="00057EB9">
        <w:tc>
          <w:tcPr>
            <w:tcW w:w="2122" w:type="dxa"/>
          </w:tcPr>
          <w:p w:rsidR="00CC2F0B" w:rsidRPr="003E7935" w:rsidRDefault="00CC2F0B" w:rsidP="00057EB9">
            <w:pPr>
              <w:spacing w:line="240" w:lineRule="auto"/>
              <w:jc w:val="center"/>
              <w:rPr>
                <w:sz w:val="24"/>
                <w:szCs w:val="24"/>
              </w:rPr>
            </w:pPr>
            <w:r w:rsidRPr="003E7935">
              <w:rPr>
                <w:sz w:val="24"/>
                <w:szCs w:val="24"/>
              </w:rPr>
              <w:t>Клапан Г.Т. Голикова, 1962 г.</w:t>
            </w:r>
          </w:p>
        </w:tc>
        <w:tc>
          <w:tcPr>
            <w:tcW w:w="2409" w:type="dxa"/>
          </w:tcPr>
          <w:p w:rsidR="00CC2F0B" w:rsidRPr="003E7935" w:rsidRDefault="00CC2F0B" w:rsidP="00057EB9">
            <w:pPr>
              <w:spacing w:line="240" w:lineRule="auto"/>
              <w:jc w:val="center"/>
              <w:rPr>
                <w:sz w:val="24"/>
                <w:szCs w:val="24"/>
              </w:rPr>
            </w:pPr>
            <w:r w:rsidRPr="003E7935">
              <w:rPr>
                <w:sz w:val="24"/>
                <w:szCs w:val="24"/>
              </w:rPr>
              <w:t>Полимерный гибкий трехстворчатый аортальный протез на проволочном каркасе</w:t>
            </w:r>
          </w:p>
        </w:tc>
        <w:tc>
          <w:tcPr>
            <w:tcW w:w="2410" w:type="dxa"/>
          </w:tcPr>
          <w:p w:rsidR="00CC2F0B" w:rsidRPr="003E7935" w:rsidRDefault="00CC2F0B" w:rsidP="00057EB9">
            <w:pPr>
              <w:spacing w:line="240" w:lineRule="auto"/>
              <w:jc w:val="center"/>
              <w:rPr>
                <w:sz w:val="24"/>
                <w:szCs w:val="24"/>
              </w:rPr>
            </w:pPr>
            <w:r w:rsidRPr="003E7935">
              <w:rPr>
                <w:sz w:val="24"/>
                <w:szCs w:val="24"/>
              </w:rPr>
              <w:t>Свобода просвета, высокие значения ЭПО*, физиологическая структура кровотока, адаптация конструкции к позиции имплантации</w:t>
            </w:r>
          </w:p>
        </w:tc>
        <w:tc>
          <w:tcPr>
            <w:tcW w:w="2404" w:type="dxa"/>
          </w:tcPr>
          <w:p w:rsidR="00CC2F0B" w:rsidRPr="003E7935" w:rsidRDefault="00CC2F0B" w:rsidP="00057EB9">
            <w:pPr>
              <w:spacing w:line="240" w:lineRule="auto"/>
              <w:jc w:val="center"/>
              <w:rPr>
                <w:sz w:val="24"/>
                <w:szCs w:val="24"/>
              </w:rPr>
            </w:pPr>
            <w:r w:rsidRPr="003E7935">
              <w:rPr>
                <w:sz w:val="24"/>
                <w:szCs w:val="24"/>
              </w:rPr>
              <w:t>Недостаточная механическая прочность и низкая би</w:t>
            </w:r>
            <w:proofErr w:type="gramStart"/>
            <w:r w:rsidRPr="003E7935">
              <w:rPr>
                <w:sz w:val="24"/>
                <w:szCs w:val="24"/>
              </w:rPr>
              <w:t>о-</w:t>
            </w:r>
            <w:proofErr w:type="gramEnd"/>
            <w:r w:rsidRPr="003E7935">
              <w:rPr>
                <w:sz w:val="24"/>
                <w:szCs w:val="24"/>
              </w:rPr>
              <w:t xml:space="preserve"> и гемосовместимость материалов</w:t>
            </w:r>
          </w:p>
        </w:tc>
      </w:tr>
      <w:tr w:rsidR="00CC2F0B" w:rsidRPr="003E7935" w:rsidTr="00057EB9">
        <w:tc>
          <w:tcPr>
            <w:tcW w:w="2122" w:type="dxa"/>
          </w:tcPr>
          <w:p w:rsidR="00CC2F0B" w:rsidRPr="003E7935" w:rsidRDefault="00CC2F0B" w:rsidP="00057EB9">
            <w:pPr>
              <w:spacing w:line="240" w:lineRule="auto"/>
              <w:jc w:val="center"/>
              <w:rPr>
                <w:sz w:val="24"/>
                <w:szCs w:val="24"/>
              </w:rPr>
            </w:pPr>
            <w:r>
              <w:rPr>
                <w:sz w:val="24"/>
                <w:szCs w:val="24"/>
              </w:rPr>
              <w:t>Шаровой</w:t>
            </w:r>
          </w:p>
        </w:tc>
        <w:tc>
          <w:tcPr>
            <w:tcW w:w="2409" w:type="dxa"/>
          </w:tcPr>
          <w:p w:rsidR="00CC2F0B" w:rsidRPr="003E7935" w:rsidRDefault="00CC2F0B" w:rsidP="00057EB9">
            <w:pPr>
              <w:spacing w:line="240" w:lineRule="auto"/>
              <w:jc w:val="center"/>
              <w:rPr>
                <w:sz w:val="24"/>
                <w:szCs w:val="24"/>
              </w:rPr>
            </w:pPr>
            <w:r w:rsidRPr="003E7935">
              <w:rPr>
                <w:sz w:val="24"/>
                <w:szCs w:val="24"/>
              </w:rPr>
              <w:t>«Плавающий», не закрепленный в корпусе шар из силикона</w:t>
            </w:r>
          </w:p>
        </w:tc>
        <w:tc>
          <w:tcPr>
            <w:tcW w:w="2410" w:type="dxa"/>
          </w:tcPr>
          <w:p w:rsidR="00CC2F0B" w:rsidRPr="003E7935" w:rsidRDefault="00CC2F0B" w:rsidP="00057EB9">
            <w:pPr>
              <w:spacing w:line="240" w:lineRule="auto"/>
              <w:jc w:val="center"/>
              <w:rPr>
                <w:sz w:val="24"/>
                <w:szCs w:val="24"/>
              </w:rPr>
            </w:pPr>
            <w:r w:rsidRPr="003E7935">
              <w:rPr>
                <w:sz w:val="24"/>
                <w:szCs w:val="24"/>
              </w:rPr>
              <w:t>Прочность, надежность, биосовместимость, эффективная омываемость шара</w:t>
            </w:r>
          </w:p>
        </w:tc>
        <w:tc>
          <w:tcPr>
            <w:tcW w:w="2404" w:type="dxa"/>
          </w:tcPr>
          <w:p w:rsidR="00CC2F0B" w:rsidRPr="003E7935" w:rsidRDefault="00CC2F0B" w:rsidP="00057EB9">
            <w:pPr>
              <w:spacing w:line="240" w:lineRule="auto"/>
              <w:jc w:val="center"/>
              <w:rPr>
                <w:sz w:val="24"/>
                <w:szCs w:val="24"/>
              </w:rPr>
            </w:pPr>
            <w:r w:rsidRPr="003E7935">
              <w:rPr>
                <w:sz w:val="24"/>
                <w:szCs w:val="24"/>
              </w:rPr>
              <w:t>Измененная структура кровотока, малые значения ЭПО, отсутствие свободы просвета, крупные габариты</w:t>
            </w:r>
          </w:p>
        </w:tc>
      </w:tr>
      <w:tr w:rsidR="00CC2F0B" w:rsidRPr="003E7935" w:rsidTr="00057EB9">
        <w:tc>
          <w:tcPr>
            <w:tcW w:w="2122" w:type="dxa"/>
          </w:tcPr>
          <w:p w:rsidR="00CC2F0B" w:rsidRDefault="00CC2F0B" w:rsidP="00057EB9">
            <w:pPr>
              <w:spacing w:line="240" w:lineRule="auto"/>
              <w:jc w:val="center"/>
              <w:rPr>
                <w:sz w:val="24"/>
                <w:szCs w:val="24"/>
              </w:rPr>
            </w:pPr>
            <w:r w:rsidRPr="003E7935">
              <w:rPr>
                <w:sz w:val="24"/>
                <w:szCs w:val="24"/>
              </w:rPr>
              <w:t xml:space="preserve">Дисковый («ЛИКС», </w:t>
            </w:r>
            <w:r w:rsidRPr="003E7935">
              <w:rPr>
                <w:sz w:val="24"/>
                <w:szCs w:val="24"/>
              </w:rPr>
              <w:lastRenderedPageBreak/>
              <w:t>«МИКС», «Medtronic hall»)</w:t>
            </w:r>
          </w:p>
        </w:tc>
        <w:tc>
          <w:tcPr>
            <w:tcW w:w="2409" w:type="dxa"/>
          </w:tcPr>
          <w:p w:rsidR="00CC2F0B" w:rsidRPr="003E7935" w:rsidRDefault="00CC2F0B" w:rsidP="00057EB9">
            <w:pPr>
              <w:spacing w:line="240" w:lineRule="auto"/>
              <w:jc w:val="center"/>
              <w:rPr>
                <w:sz w:val="24"/>
                <w:szCs w:val="24"/>
              </w:rPr>
            </w:pPr>
            <w:r w:rsidRPr="003E7935">
              <w:rPr>
                <w:sz w:val="24"/>
                <w:szCs w:val="24"/>
              </w:rPr>
              <w:lastRenderedPageBreak/>
              <w:t xml:space="preserve">«Плавающий», не закрепленный в </w:t>
            </w:r>
            <w:r w:rsidRPr="003E7935">
              <w:rPr>
                <w:sz w:val="24"/>
                <w:szCs w:val="24"/>
              </w:rPr>
              <w:lastRenderedPageBreak/>
              <w:t>корпусе диск из пироуглерода</w:t>
            </w:r>
          </w:p>
        </w:tc>
        <w:tc>
          <w:tcPr>
            <w:tcW w:w="2410" w:type="dxa"/>
          </w:tcPr>
          <w:p w:rsidR="00CC2F0B" w:rsidRPr="003E7935" w:rsidRDefault="00CC2F0B" w:rsidP="00057EB9">
            <w:pPr>
              <w:spacing w:line="240" w:lineRule="auto"/>
              <w:jc w:val="center"/>
              <w:rPr>
                <w:sz w:val="24"/>
                <w:szCs w:val="24"/>
              </w:rPr>
            </w:pPr>
            <w:r w:rsidRPr="003E7935">
              <w:rPr>
                <w:sz w:val="24"/>
                <w:szCs w:val="24"/>
              </w:rPr>
              <w:lastRenderedPageBreak/>
              <w:t xml:space="preserve">Малые габариты, </w:t>
            </w:r>
            <w:proofErr w:type="gramStart"/>
            <w:r w:rsidRPr="003E7935">
              <w:rPr>
                <w:sz w:val="24"/>
                <w:szCs w:val="24"/>
              </w:rPr>
              <w:t>эффективная</w:t>
            </w:r>
            <w:proofErr w:type="gramEnd"/>
            <w:r w:rsidRPr="003E7935">
              <w:rPr>
                <w:sz w:val="24"/>
                <w:szCs w:val="24"/>
              </w:rPr>
              <w:t xml:space="preserve"> </w:t>
            </w:r>
            <w:r w:rsidRPr="003E7935">
              <w:rPr>
                <w:sz w:val="24"/>
                <w:szCs w:val="24"/>
              </w:rPr>
              <w:lastRenderedPageBreak/>
              <w:t>омываемость диска</w:t>
            </w:r>
          </w:p>
        </w:tc>
        <w:tc>
          <w:tcPr>
            <w:tcW w:w="2404" w:type="dxa"/>
          </w:tcPr>
          <w:p w:rsidR="00CC2F0B" w:rsidRPr="003E7935" w:rsidRDefault="00CC2F0B" w:rsidP="00057EB9">
            <w:pPr>
              <w:spacing w:line="240" w:lineRule="auto"/>
              <w:jc w:val="center"/>
              <w:rPr>
                <w:sz w:val="24"/>
                <w:szCs w:val="24"/>
              </w:rPr>
            </w:pPr>
            <w:r w:rsidRPr="003E7935">
              <w:rPr>
                <w:sz w:val="24"/>
                <w:szCs w:val="24"/>
              </w:rPr>
              <w:lastRenderedPageBreak/>
              <w:t xml:space="preserve">Нецентральный поток (смещение </w:t>
            </w:r>
            <w:r w:rsidRPr="003E7935">
              <w:rPr>
                <w:sz w:val="24"/>
                <w:szCs w:val="24"/>
              </w:rPr>
              <w:lastRenderedPageBreak/>
              <w:t>центра потока от центра проходного отверстия протеза), измененная структура кровотока, отсутствие свободы просвета</w:t>
            </w:r>
          </w:p>
        </w:tc>
      </w:tr>
      <w:tr w:rsidR="00CC2F0B" w:rsidRPr="003E7935" w:rsidTr="00057EB9">
        <w:tc>
          <w:tcPr>
            <w:tcW w:w="9345" w:type="dxa"/>
            <w:gridSpan w:val="4"/>
          </w:tcPr>
          <w:p w:rsidR="00CC2F0B" w:rsidRPr="003E7935" w:rsidRDefault="00CC2F0B" w:rsidP="00057EB9">
            <w:pPr>
              <w:spacing w:line="240" w:lineRule="auto"/>
              <w:jc w:val="right"/>
              <w:rPr>
                <w:sz w:val="24"/>
                <w:szCs w:val="24"/>
              </w:rPr>
            </w:pPr>
            <w:r>
              <w:rPr>
                <w:sz w:val="24"/>
                <w:szCs w:val="24"/>
              </w:rPr>
              <w:lastRenderedPageBreak/>
              <w:t>Продолжение табл. 1</w:t>
            </w:r>
          </w:p>
        </w:tc>
      </w:tr>
      <w:tr w:rsidR="00CC2F0B" w:rsidRPr="003E7935" w:rsidTr="00057EB9">
        <w:tc>
          <w:tcPr>
            <w:tcW w:w="2122" w:type="dxa"/>
          </w:tcPr>
          <w:p w:rsidR="00CC2F0B" w:rsidRPr="003E7935" w:rsidRDefault="00CC2F0B" w:rsidP="00057EB9">
            <w:pPr>
              <w:spacing w:line="240" w:lineRule="auto"/>
              <w:jc w:val="center"/>
              <w:rPr>
                <w:sz w:val="24"/>
                <w:szCs w:val="24"/>
              </w:rPr>
            </w:pPr>
            <w:r w:rsidRPr="003E7935">
              <w:rPr>
                <w:sz w:val="24"/>
                <w:szCs w:val="24"/>
              </w:rPr>
              <w:t>Двухстворчатый традиционный («SJM standard»)</w:t>
            </w:r>
          </w:p>
        </w:tc>
        <w:tc>
          <w:tcPr>
            <w:tcW w:w="2409" w:type="dxa"/>
          </w:tcPr>
          <w:p w:rsidR="00CC2F0B" w:rsidRPr="003E7935" w:rsidRDefault="00CC2F0B" w:rsidP="00057EB9">
            <w:pPr>
              <w:spacing w:line="240" w:lineRule="auto"/>
              <w:jc w:val="center"/>
              <w:rPr>
                <w:sz w:val="24"/>
                <w:szCs w:val="24"/>
              </w:rPr>
            </w:pPr>
            <w:r w:rsidRPr="003E7935">
              <w:rPr>
                <w:sz w:val="24"/>
                <w:szCs w:val="24"/>
              </w:rPr>
              <w:t>Со створками на шарнирных креплениях внутри корпуса</w:t>
            </w:r>
          </w:p>
        </w:tc>
        <w:tc>
          <w:tcPr>
            <w:tcW w:w="2410" w:type="dxa"/>
          </w:tcPr>
          <w:p w:rsidR="00CC2F0B" w:rsidRPr="003E7935" w:rsidRDefault="00CC2F0B" w:rsidP="00057EB9">
            <w:pPr>
              <w:spacing w:line="240" w:lineRule="auto"/>
              <w:jc w:val="center"/>
              <w:rPr>
                <w:sz w:val="24"/>
                <w:szCs w:val="24"/>
              </w:rPr>
            </w:pPr>
            <w:r w:rsidRPr="003E7935">
              <w:rPr>
                <w:sz w:val="24"/>
                <w:szCs w:val="24"/>
              </w:rPr>
              <w:t>Малые габариты, центральный поток</w:t>
            </w:r>
          </w:p>
        </w:tc>
        <w:tc>
          <w:tcPr>
            <w:tcW w:w="2404" w:type="dxa"/>
          </w:tcPr>
          <w:p w:rsidR="00CC2F0B" w:rsidRPr="003E7935" w:rsidRDefault="00CC2F0B" w:rsidP="00057EB9">
            <w:pPr>
              <w:spacing w:line="240" w:lineRule="auto"/>
              <w:jc w:val="center"/>
              <w:rPr>
                <w:sz w:val="24"/>
                <w:szCs w:val="24"/>
              </w:rPr>
            </w:pPr>
            <w:r w:rsidRPr="003E7935">
              <w:rPr>
                <w:sz w:val="24"/>
                <w:szCs w:val="24"/>
              </w:rPr>
              <w:t>Измененная структура кровотока, отсутствие свободы просвета, наличие шарнирных креплений</w:t>
            </w:r>
          </w:p>
        </w:tc>
      </w:tr>
      <w:tr w:rsidR="00CC2F0B" w:rsidRPr="003E7935" w:rsidTr="00057EB9">
        <w:tc>
          <w:tcPr>
            <w:tcW w:w="2122" w:type="dxa"/>
          </w:tcPr>
          <w:p w:rsidR="00CC2F0B" w:rsidRPr="003E7935" w:rsidRDefault="00CC2F0B" w:rsidP="00057EB9">
            <w:pPr>
              <w:spacing w:line="240" w:lineRule="auto"/>
              <w:jc w:val="center"/>
              <w:rPr>
                <w:sz w:val="24"/>
                <w:szCs w:val="24"/>
              </w:rPr>
            </w:pPr>
            <w:r w:rsidRPr="003E7935">
              <w:rPr>
                <w:sz w:val="24"/>
                <w:szCs w:val="24"/>
              </w:rPr>
              <w:t>Двухстворчатый усовершенствованный («SJM regent», «ATS», «On-X»)</w:t>
            </w:r>
          </w:p>
        </w:tc>
        <w:tc>
          <w:tcPr>
            <w:tcW w:w="2409" w:type="dxa"/>
          </w:tcPr>
          <w:p w:rsidR="00CC2F0B" w:rsidRPr="003E7935" w:rsidRDefault="00CC2F0B" w:rsidP="00057EB9">
            <w:pPr>
              <w:spacing w:line="240" w:lineRule="auto"/>
              <w:jc w:val="center"/>
              <w:rPr>
                <w:sz w:val="24"/>
                <w:szCs w:val="24"/>
              </w:rPr>
            </w:pPr>
            <w:r w:rsidRPr="003E7935">
              <w:rPr>
                <w:sz w:val="24"/>
                <w:szCs w:val="24"/>
              </w:rPr>
              <w:t>Расширенная площадь проходного отверстия, усовершенствованная форма шарнирных креплений внутри корпуса</w:t>
            </w:r>
          </w:p>
        </w:tc>
        <w:tc>
          <w:tcPr>
            <w:tcW w:w="2410" w:type="dxa"/>
          </w:tcPr>
          <w:p w:rsidR="00CC2F0B" w:rsidRPr="003E7935" w:rsidRDefault="00CC2F0B" w:rsidP="00057EB9">
            <w:pPr>
              <w:spacing w:line="240" w:lineRule="auto"/>
              <w:jc w:val="center"/>
              <w:rPr>
                <w:sz w:val="24"/>
                <w:szCs w:val="24"/>
              </w:rPr>
            </w:pPr>
            <w:r w:rsidRPr="003E7935">
              <w:rPr>
                <w:sz w:val="24"/>
                <w:szCs w:val="24"/>
              </w:rPr>
              <w:t>Малые габариты, центральный поток улучшенной структуры, приближенной к физиологической структуре кровотока, повышенные значения ЭПО</w:t>
            </w:r>
          </w:p>
        </w:tc>
        <w:tc>
          <w:tcPr>
            <w:tcW w:w="2404" w:type="dxa"/>
          </w:tcPr>
          <w:p w:rsidR="00CC2F0B" w:rsidRPr="003E7935" w:rsidRDefault="00CC2F0B" w:rsidP="00057EB9">
            <w:pPr>
              <w:spacing w:line="240" w:lineRule="auto"/>
              <w:jc w:val="center"/>
              <w:rPr>
                <w:sz w:val="24"/>
                <w:szCs w:val="24"/>
              </w:rPr>
            </w:pPr>
            <w:r w:rsidRPr="003E7935">
              <w:rPr>
                <w:sz w:val="24"/>
                <w:szCs w:val="24"/>
              </w:rPr>
              <w:t>Наличие шарнирных креплений, отсутствие свободы просвета</w:t>
            </w:r>
          </w:p>
        </w:tc>
      </w:tr>
      <w:tr w:rsidR="00CC2F0B" w:rsidRPr="003E7935" w:rsidTr="00057EB9">
        <w:tc>
          <w:tcPr>
            <w:tcW w:w="2122" w:type="dxa"/>
          </w:tcPr>
          <w:p w:rsidR="00CC2F0B" w:rsidRPr="003E7935" w:rsidRDefault="00CC2F0B" w:rsidP="00057EB9">
            <w:pPr>
              <w:spacing w:line="240" w:lineRule="auto"/>
              <w:jc w:val="center"/>
              <w:rPr>
                <w:sz w:val="24"/>
                <w:szCs w:val="24"/>
              </w:rPr>
            </w:pPr>
            <w:r w:rsidRPr="003E7935">
              <w:rPr>
                <w:sz w:val="24"/>
                <w:szCs w:val="24"/>
              </w:rPr>
              <w:t>Трехстворчатый («Трикардикс»)</w:t>
            </w:r>
          </w:p>
        </w:tc>
        <w:tc>
          <w:tcPr>
            <w:tcW w:w="2409" w:type="dxa"/>
          </w:tcPr>
          <w:p w:rsidR="00CC2F0B" w:rsidRPr="003E7935" w:rsidRDefault="00CC2F0B" w:rsidP="00057EB9">
            <w:pPr>
              <w:spacing w:line="240" w:lineRule="auto"/>
              <w:jc w:val="center"/>
              <w:rPr>
                <w:sz w:val="24"/>
                <w:szCs w:val="24"/>
              </w:rPr>
            </w:pPr>
            <w:r w:rsidRPr="003E7935">
              <w:rPr>
                <w:sz w:val="24"/>
                <w:szCs w:val="24"/>
              </w:rPr>
              <w:t>Со створками на шарнирных креплениях внутри корпуса</w:t>
            </w:r>
          </w:p>
          <w:p w:rsidR="00CC2F0B" w:rsidRPr="003E7935" w:rsidRDefault="00CC2F0B" w:rsidP="00057EB9">
            <w:pPr>
              <w:spacing w:line="240" w:lineRule="auto"/>
              <w:jc w:val="center"/>
              <w:rPr>
                <w:sz w:val="24"/>
                <w:szCs w:val="24"/>
              </w:rPr>
            </w:pPr>
          </w:p>
        </w:tc>
        <w:tc>
          <w:tcPr>
            <w:tcW w:w="2410" w:type="dxa"/>
          </w:tcPr>
          <w:p w:rsidR="00CC2F0B" w:rsidRPr="003E7935" w:rsidRDefault="00CC2F0B" w:rsidP="00057EB9">
            <w:pPr>
              <w:spacing w:line="240" w:lineRule="auto"/>
              <w:jc w:val="center"/>
              <w:rPr>
                <w:sz w:val="24"/>
                <w:szCs w:val="24"/>
              </w:rPr>
            </w:pPr>
            <w:r w:rsidRPr="003E7935">
              <w:rPr>
                <w:sz w:val="24"/>
                <w:szCs w:val="24"/>
              </w:rPr>
              <w:t>Относительная свобода просвета центра отверстия</w:t>
            </w:r>
          </w:p>
          <w:p w:rsidR="00CC2F0B" w:rsidRPr="003E7935" w:rsidRDefault="00CC2F0B" w:rsidP="00057EB9">
            <w:pPr>
              <w:spacing w:line="240" w:lineRule="auto"/>
              <w:jc w:val="center"/>
              <w:rPr>
                <w:sz w:val="24"/>
                <w:szCs w:val="24"/>
              </w:rPr>
            </w:pPr>
          </w:p>
        </w:tc>
        <w:tc>
          <w:tcPr>
            <w:tcW w:w="2404" w:type="dxa"/>
          </w:tcPr>
          <w:p w:rsidR="00CC2F0B" w:rsidRPr="003E7935" w:rsidRDefault="00CC2F0B" w:rsidP="00057EB9">
            <w:pPr>
              <w:spacing w:line="240" w:lineRule="auto"/>
              <w:jc w:val="center"/>
              <w:rPr>
                <w:sz w:val="24"/>
                <w:szCs w:val="24"/>
              </w:rPr>
            </w:pPr>
            <w:r w:rsidRPr="003E7935">
              <w:rPr>
                <w:sz w:val="24"/>
                <w:szCs w:val="24"/>
              </w:rPr>
              <w:t>Наличие шарнирных креплений, отсутствие свободы просвета</w:t>
            </w:r>
          </w:p>
          <w:p w:rsidR="00CC2F0B" w:rsidRPr="003E7935" w:rsidRDefault="00CC2F0B" w:rsidP="00057EB9">
            <w:pPr>
              <w:spacing w:line="240" w:lineRule="auto"/>
              <w:jc w:val="center"/>
              <w:rPr>
                <w:sz w:val="24"/>
                <w:szCs w:val="24"/>
              </w:rPr>
            </w:pPr>
          </w:p>
        </w:tc>
      </w:tr>
      <w:tr w:rsidR="00CC2F0B" w:rsidRPr="003E7935" w:rsidTr="00057EB9">
        <w:tc>
          <w:tcPr>
            <w:tcW w:w="2122" w:type="dxa"/>
          </w:tcPr>
          <w:p w:rsidR="00CC2F0B" w:rsidRPr="003E7935" w:rsidRDefault="00CC2F0B" w:rsidP="00057EB9">
            <w:pPr>
              <w:spacing w:line="240" w:lineRule="auto"/>
              <w:jc w:val="center"/>
              <w:rPr>
                <w:sz w:val="24"/>
                <w:szCs w:val="24"/>
              </w:rPr>
            </w:pPr>
            <w:r w:rsidRPr="003E7935">
              <w:rPr>
                <w:sz w:val="24"/>
                <w:szCs w:val="24"/>
              </w:rPr>
              <w:t xml:space="preserve">Полнопроточный </w:t>
            </w:r>
            <w:proofErr w:type="gramStart"/>
            <w:r w:rsidRPr="003E7935">
              <w:rPr>
                <w:sz w:val="24"/>
                <w:szCs w:val="24"/>
              </w:rPr>
              <w:t>трехстворчатый</w:t>
            </w:r>
            <w:proofErr w:type="gramEnd"/>
            <w:r w:rsidRPr="003E7935">
              <w:rPr>
                <w:sz w:val="24"/>
                <w:szCs w:val="24"/>
              </w:rPr>
              <w:t xml:space="preserve"> аортальный (новая разработка)</w:t>
            </w:r>
          </w:p>
        </w:tc>
        <w:tc>
          <w:tcPr>
            <w:tcW w:w="2409" w:type="dxa"/>
          </w:tcPr>
          <w:p w:rsidR="00CC2F0B" w:rsidRPr="003E7935" w:rsidRDefault="00CC2F0B" w:rsidP="00057EB9">
            <w:pPr>
              <w:spacing w:line="240" w:lineRule="auto"/>
              <w:jc w:val="center"/>
              <w:rPr>
                <w:sz w:val="24"/>
                <w:szCs w:val="24"/>
              </w:rPr>
            </w:pPr>
            <w:r w:rsidRPr="003E7935">
              <w:rPr>
                <w:sz w:val="24"/>
                <w:szCs w:val="24"/>
              </w:rPr>
              <w:t>Со створками на шарнирных креплениях по периметру корпуса</w:t>
            </w:r>
          </w:p>
        </w:tc>
        <w:tc>
          <w:tcPr>
            <w:tcW w:w="2410" w:type="dxa"/>
          </w:tcPr>
          <w:p w:rsidR="00CC2F0B" w:rsidRPr="003E7935" w:rsidRDefault="00CC2F0B" w:rsidP="00057EB9">
            <w:pPr>
              <w:spacing w:line="240" w:lineRule="auto"/>
              <w:jc w:val="center"/>
              <w:rPr>
                <w:sz w:val="24"/>
                <w:szCs w:val="24"/>
              </w:rPr>
            </w:pPr>
            <w:r w:rsidRPr="003E7935">
              <w:rPr>
                <w:sz w:val="24"/>
                <w:szCs w:val="24"/>
              </w:rPr>
              <w:t>Свобода просвета, адаптация конструкции протеза к аортальной позиции имплантации, физиологическая структура кровотока, значения ЭПО ≤ ГПО</w:t>
            </w:r>
          </w:p>
        </w:tc>
        <w:tc>
          <w:tcPr>
            <w:tcW w:w="2404" w:type="dxa"/>
          </w:tcPr>
          <w:p w:rsidR="00CC2F0B" w:rsidRPr="003E7935" w:rsidRDefault="00CC2F0B" w:rsidP="00057EB9">
            <w:pPr>
              <w:spacing w:line="240" w:lineRule="auto"/>
              <w:jc w:val="center"/>
              <w:rPr>
                <w:sz w:val="24"/>
                <w:szCs w:val="24"/>
              </w:rPr>
            </w:pPr>
            <w:r w:rsidRPr="003E7935">
              <w:rPr>
                <w:sz w:val="24"/>
                <w:szCs w:val="24"/>
              </w:rPr>
              <w:t>Затрудненность кровотока периферийных зон проходного отверстия, усложнение структуры потока, наличие шарнирных креплений, отсутствие свободы просвета Наличие шарнирных креплений</w:t>
            </w:r>
          </w:p>
        </w:tc>
      </w:tr>
    </w:tbl>
    <w:p w:rsidR="00CC2F0B" w:rsidRPr="00FF3E43" w:rsidRDefault="00CC2F0B" w:rsidP="00CC2F0B">
      <w:pPr>
        <w:ind w:firstLine="708"/>
        <w:jc w:val="center"/>
      </w:pPr>
    </w:p>
    <w:p w:rsidR="00CC2F0B" w:rsidRDefault="00CC2F0B" w:rsidP="00CC2F0B">
      <w:pPr>
        <w:pStyle w:val="a9"/>
        <w:spacing w:before="0" w:beforeAutospacing="0" w:after="0" w:afterAutospacing="0" w:line="360" w:lineRule="auto"/>
        <w:jc w:val="both"/>
        <w:textAlignment w:val="top"/>
        <w:rPr>
          <w:sz w:val="28"/>
          <w:szCs w:val="28"/>
        </w:rPr>
      </w:pPr>
      <w:r>
        <w:tab/>
      </w:r>
      <w:r w:rsidRPr="003E7935">
        <w:rPr>
          <w:sz w:val="28"/>
          <w:szCs w:val="28"/>
        </w:rPr>
        <w:t xml:space="preserve">Поиски новых конструктивных решений для протезов клапанов сердца, способов их оценки и усовершенствования продолжают интересовать специалистов в области разработки и изготовления имплантатов для </w:t>
      </w:r>
      <w:proofErr w:type="gramStart"/>
      <w:r w:rsidRPr="003E7935">
        <w:rPr>
          <w:sz w:val="28"/>
          <w:szCs w:val="28"/>
        </w:rPr>
        <w:t>сердечно-сосудистой</w:t>
      </w:r>
      <w:proofErr w:type="gramEnd"/>
      <w:r w:rsidRPr="003E7935">
        <w:rPr>
          <w:sz w:val="28"/>
          <w:szCs w:val="28"/>
        </w:rPr>
        <w:t xml:space="preserve"> хирургии. </w:t>
      </w:r>
      <w:r>
        <w:rPr>
          <w:sz w:val="28"/>
          <w:szCs w:val="28"/>
        </w:rPr>
        <w:t>И</w:t>
      </w:r>
      <w:r w:rsidRPr="003E7935">
        <w:rPr>
          <w:sz w:val="28"/>
          <w:szCs w:val="28"/>
        </w:rPr>
        <w:t xml:space="preserve">зготовители ПКС постоянно работают </w:t>
      </w:r>
      <w:r>
        <w:rPr>
          <w:sz w:val="28"/>
          <w:szCs w:val="28"/>
        </w:rPr>
        <w:t>н</w:t>
      </w:r>
      <w:r w:rsidRPr="003E7935">
        <w:rPr>
          <w:sz w:val="28"/>
          <w:szCs w:val="28"/>
        </w:rPr>
        <w:t xml:space="preserve">ад </w:t>
      </w:r>
      <w:r>
        <w:rPr>
          <w:sz w:val="28"/>
          <w:szCs w:val="28"/>
        </w:rPr>
        <w:t>оптимизацией протезов клапанов сердца</w:t>
      </w:r>
      <w:r w:rsidRPr="003E7935">
        <w:rPr>
          <w:sz w:val="28"/>
          <w:szCs w:val="28"/>
        </w:rPr>
        <w:t xml:space="preserve">. Так, зарубежным и российским </w:t>
      </w:r>
      <w:r w:rsidRPr="003E7935">
        <w:rPr>
          <w:sz w:val="28"/>
          <w:szCs w:val="28"/>
        </w:rPr>
        <w:lastRenderedPageBreak/>
        <w:t>фирмам-изготовителям удалось повысить эффективность выпускаемых механических двухстворчатых протезов для аортального протезирования путем оптимизации конструкции корпуса ПКС и манжеты. Это позволило увеличить диаметр проходного отверстия протеза и повысить ЭПО при сохранении того же посадочного размера. Возможны и другие направления усовершенствования ПКС. Так, стремление устранить</w:t>
      </w:r>
      <w:r>
        <w:t> </w:t>
      </w:r>
      <w:r w:rsidRPr="003E7935">
        <w:rPr>
          <w:sz w:val="28"/>
          <w:szCs w:val="28"/>
        </w:rPr>
        <w:t xml:space="preserve">разделение и отклонение кровотока при его прохождении через протез, а также сохранить целостность физиологической структуры транспротезного кровотока способствовало разработке нового типа полнопроточного полностью углеродного трехстворчатого аортального протеза  — «КорБит» (рис. </w:t>
      </w:r>
      <w:r>
        <w:rPr>
          <w:sz w:val="28"/>
          <w:szCs w:val="28"/>
        </w:rPr>
        <w:t>1</w:t>
      </w:r>
      <w:r w:rsidRPr="003E7935">
        <w:rPr>
          <w:sz w:val="28"/>
          <w:szCs w:val="28"/>
        </w:rPr>
        <w:t xml:space="preserve">). </w:t>
      </w:r>
    </w:p>
    <w:p w:rsidR="00CC2F0B" w:rsidRDefault="00CC2F0B" w:rsidP="00CC2F0B">
      <w:pPr>
        <w:pStyle w:val="a9"/>
        <w:spacing w:before="0" w:beforeAutospacing="0" w:after="0" w:afterAutospacing="0" w:line="360" w:lineRule="auto"/>
        <w:jc w:val="center"/>
        <w:textAlignment w:val="top"/>
        <w:rPr>
          <w:sz w:val="28"/>
          <w:szCs w:val="28"/>
        </w:rPr>
      </w:pPr>
      <w:r>
        <w:rPr>
          <w:noProof/>
        </w:rPr>
        <w:drawing>
          <wp:inline distT="0" distB="0" distL="0" distR="0">
            <wp:extent cx="4371975" cy="3886200"/>
            <wp:effectExtent l="19050" t="19050" r="28575"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9139" t="15970" r="45485" b="6464"/>
                    <a:stretch/>
                  </pic:blipFill>
                  <pic:spPr bwMode="auto">
                    <a:xfrm>
                      <a:off x="0" y="0"/>
                      <a:ext cx="4371975" cy="3886200"/>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2F0B" w:rsidRDefault="00CC2F0B" w:rsidP="00CC2F0B">
      <w:pPr>
        <w:pStyle w:val="a9"/>
        <w:spacing w:before="0" w:beforeAutospacing="0" w:after="0" w:afterAutospacing="0" w:line="360" w:lineRule="auto"/>
        <w:jc w:val="center"/>
        <w:textAlignment w:val="top"/>
        <w:rPr>
          <w:sz w:val="28"/>
          <w:szCs w:val="28"/>
        </w:rPr>
      </w:pPr>
      <w:r w:rsidRPr="003E7935">
        <w:rPr>
          <w:sz w:val="28"/>
          <w:szCs w:val="28"/>
        </w:rPr>
        <w:t xml:space="preserve">Рис. </w:t>
      </w:r>
      <w:r>
        <w:rPr>
          <w:sz w:val="28"/>
          <w:szCs w:val="28"/>
        </w:rPr>
        <w:t>1</w:t>
      </w:r>
      <w:r w:rsidRPr="003E7935">
        <w:rPr>
          <w:sz w:val="28"/>
          <w:szCs w:val="28"/>
        </w:rPr>
        <w:t>. Общий вид (а), стадии открытия створок механического полнопроточного протеза «КорБит» (б) и биопротеза «БиоЛАБ» (в) со створками из перикарда</w:t>
      </w:r>
    </w:p>
    <w:p w:rsidR="00CC2F0B" w:rsidRPr="003E7935" w:rsidRDefault="00CC2F0B" w:rsidP="00CC2F0B">
      <w:pPr>
        <w:pStyle w:val="a9"/>
        <w:spacing w:before="0" w:beforeAutospacing="0" w:after="0" w:afterAutospacing="0" w:line="360" w:lineRule="auto"/>
        <w:ind w:firstLine="708"/>
        <w:jc w:val="both"/>
        <w:textAlignment w:val="top"/>
        <w:rPr>
          <w:sz w:val="28"/>
          <w:szCs w:val="28"/>
        </w:rPr>
      </w:pPr>
      <w:r w:rsidRPr="003E7935">
        <w:rPr>
          <w:sz w:val="28"/>
          <w:szCs w:val="28"/>
        </w:rPr>
        <w:t xml:space="preserve">Для разработки протеза была выбрана концепция клапана с неразделенным транспротезным кровотоком, что обеспечивалось размещением створок клапана по периметру корпуса со стороны выводного </w:t>
      </w:r>
      <w:r w:rsidRPr="003E7935">
        <w:rPr>
          <w:sz w:val="28"/>
          <w:szCs w:val="28"/>
        </w:rPr>
        <w:lastRenderedPageBreak/>
        <w:t xml:space="preserve">отверстия </w:t>
      </w:r>
      <w:r>
        <w:rPr>
          <w:sz w:val="28"/>
          <w:szCs w:val="28"/>
        </w:rPr>
        <w:t>(</w:t>
      </w:r>
      <w:r w:rsidRPr="005A2D31">
        <w:rPr>
          <w:sz w:val="28"/>
          <w:szCs w:val="28"/>
        </w:rPr>
        <w:t>Бокерия Л.А. и др., 2008). Особенность</w:t>
      </w:r>
      <w:r w:rsidRPr="003E7935">
        <w:rPr>
          <w:sz w:val="28"/>
          <w:szCs w:val="28"/>
        </w:rPr>
        <w:t xml:space="preserve"> протеза — свобода просвета проходного отверстия. Новое конструктивное решение отличается:</w:t>
      </w:r>
    </w:p>
    <w:p w:rsidR="00CC2F0B" w:rsidRPr="003E7935" w:rsidRDefault="00CC2F0B" w:rsidP="00CC2F0B">
      <w:r w:rsidRPr="003E7935">
        <w:t>— минимальным искажением характеристик транспротезного кровотока, которые присущи нативному аортальному клапану человека;</w:t>
      </w:r>
    </w:p>
    <w:p w:rsidR="00CC2F0B" w:rsidRPr="003E7935" w:rsidRDefault="00CC2F0B" w:rsidP="00CC2F0B">
      <w:r w:rsidRPr="003E7935">
        <w:t>— заметным снижением потерь давления и повышением эффективной площади проходного отверстия по сравнению с существующими механическими протезами;</w:t>
      </w:r>
    </w:p>
    <w:p w:rsidR="00CC2F0B" w:rsidRPr="003E7935" w:rsidRDefault="00CC2F0B" w:rsidP="00CC2F0B">
      <w:r w:rsidRPr="003E7935">
        <w:t>— воспроизведением характера движения створок, присущего нативному клапану;</w:t>
      </w:r>
    </w:p>
    <w:p w:rsidR="00CC2F0B" w:rsidRPr="003E7935" w:rsidRDefault="00CC2F0B" w:rsidP="00CC2F0B">
      <w:r w:rsidRPr="003E7935">
        <w:t>— устранением условий для образования струй обратного перетока, характерного для механических видов ПКС;</w:t>
      </w:r>
    </w:p>
    <w:p w:rsidR="00CC2F0B" w:rsidRPr="003E7935" w:rsidRDefault="00CC2F0B" w:rsidP="00CC2F0B">
      <w:r w:rsidRPr="003E7935">
        <w:t>— существенным снижением уровня шума</w:t>
      </w:r>
      <w:r>
        <w:t xml:space="preserve"> (Фадеев</w:t>
      </w:r>
      <w:r w:rsidRPr="002E5497">
        <w:t xml:space="preserve"> </w:t>
      </w:r>
      <w:r>
        <w:t>А.А., 2013)</w:t>
      </w:r>
      <w:r w:rsidRPr="003E7935">
        <w:t>.</w:t>
      </w:r>
    </w:p>
    <w:p w:rsidR="00CC2F0B" w:rsidRDefault="00CC2F0B" w:rsidP="00CC2F0B">
      <w:pPr>
        <w:ind w:firstLine="708"/>
      </w:pPr>
      <w:r>
        <w:t xml:space="preserve">Однако, несмотря на все достоинства механических протезов клапанов, большинство специалистов в настоящее время отдают предпочтение биологическим протезам. </w:t>
      </w:r>
      <w:r w:rsidRPr="00274047">
        <w:t xml:space="preserve">В настоящее время существует единое мнение, что имплантация именно биологического протеза абсолютно показана пациентам старше 70 лет из-за доказанной медленной структурной дегенерации биологических компонентов протеза в этой возрастной группе </w:t>
      </w:r>
      <w:r>
        <w:t>(Борисов И.А. и др., 2012)</w:t>
      </w:r>
      <w:r w:rsidRPr="00274047">
        <w:t>. Имплантация биологического протеза также может быть показана больным в возрасте от 60 до 70 лет с синусовым ритмом (для митрального клапана) в связи с наличием некоторых сопутствующих заболеваний. Кроме того, имплантация биопротеза считается показанной пациентам с синусовым ритмом в любой возрастной группе, когда по тем или иным причинам существует необходимость избежать пожизне</w:t>
      </w:r>
      <w:r>
        <w:t>нной антикоагулянтной терапии. </w:t>
      </w:r>
    </w:p>
    <w:p w:rsidR="00CC2F0B" w:rsidRDefault="00CC2F0B" w:rsidP="00CC2F0B">
      <w:pPr>
        <w:ind w:firstLine="708"/>
      </w:pPr>
      <w:r w:rsidRPr="00FA066A">
        <w:t xml:space="preserve">Для изготовления створок </w:t>
      </w:r>
      <w:r>
        <w:t xml:space="preserve">биопротезов </w:t>
      </w:r>
      <w:r w:rsidRPr="00FA066A">
        <w:t xml:space="preserve">используют материалы животного происхождения (бычий перикард, глиссонову капсулу печени животных, свиные клапанные аортальные комплексы и пр.). Естественность формы биопротезов, гибкость запирающих элементов являются неоспоримым преимуществом биопротезов, несмотря на относительно </w:t>
      </w:r>
      <w:r w:rsidRPr="00FA066A">
        <w:lastRenderedPageBreak/>
        <w:t>небольшой срок службы биологической ткани, обусловленный ее подверженностью деградации. </w:t>
      </w:r>
    </w:p>
    <w:p w:rsidR="00CC2F0B" w:rsidRDefault="00CC2F0B" w:rsidP="00CC2F0B">
      <w:pPr>
        <w:ind w:firstLine="708"/>
      </w:pPr>
      <w:r w:rsidRPr="005A2D31">
        <w:t xml:space="preserve">В настоящее время все биологические протезы клапанов сердца разделяют </w:t>
      </w:r>
      <w:proofErr w:type="gramStart"/>
      <w:r w:rsidRPr="005A2D31">
        <w:t>на</w:t>
      </w:r>
      <w:proofErr w:type="gramEnd"/>
      <w:r w:rsidRPr="005A2D31">
        <w:t xml:space="preserve"> каркасные и бескаркасные. </w:t>
      </w:r>
      <w:r>
        <w:t>К</w:t>
      </w:r>
      <w:r w:rsidRPr="005A2D31">
        <w:t xml:space="preserve">аркасные биопротезы являются химически стабилизированными и могут быть изготовлены из корня аорты или перикарда животного. Бескаркасные биопротезы разделяют на 3 большие группы в зависимости от сырья и методов фиксации: </w:t>
      </w:r>
    </w:p>
    <w:p w:rsidR="00CC2F0B" w:rsidRDefault="00CC2F0B" w:rsidP="00CC2F0B">
      <w:pPr>
        <w:pStyle w:val="a7"/>
        <w:numPr>
          <w:ilvl w:val="1"/>
          <w:numId w:val="4"/>
        </w:numPr>
      </w:pPr>
      <w:r w:rsidRPr="005A2D31">
        <w:t xml:space="preserve">ксенографты (химически стабилизированные протезы, изготовленные из корня аорты или перикарда животного); </w:t>
      </w:r>
    </w:p>
    <w:p w:rsidR="00CC2F0B" w:rsidRDefault="00CC2F0B" w:rsidP="00CC2F0B">
      <w:pPr>
        <w:pStyle w:val="a7"/>
        <w:numPr>
          <w:ilvl w:val="1"/>
          <w:numId w:val="4"/>
        </w:numPr>
      </w:pPr>
      <w:proofErr w:type="gramStart"/>
      <w:r w:rsidRPr="005A2D31">
        <w:t>гомографты (протезы, взятые от челове</w:t>
      </w:r>
      <w:r>
        <w:t>ка (от того же или от другого);</w:t>
      </w:r>
      <w:proofErr w:type="gramEnd"/>
    </w:p>
    <w:p w:rsidR="00CC2F0B" w:rsidRDefault="00CC2F0B" w:rsidP="00CC2F0B">
      <w:pPr>
        <w:pStyle w:val="a7"/>
        <w:numPr>
          <w:ilvl w:val="1"/>
          <w:numId w:val="4"/>
        </w:numPr>
      </w:pPr>
      <w:r w:rsidRPr="005A2D31">
        <w:t xml:space="preserve">протезы, полученные методом генной инженерии. </w:t>
      </w:r>
    </w:p>
    <w:p w:rsidR="00CC2F0B" w:rsidRDefault="00CC2F0B" w:rsidP="00CC2F0B">
      <w:pPr>
        <w:ind w:firstLine="708"/>
      </w:pPr>
      <w:r w:rsidRPr="005A2D31">
        <w:t xml:space="preserve">Биопротезы двух последних групп не подвергаются химической стабилизации и носят условное название нативных биопротезов. </w:t>
      </w:r>
      <w:proofErr w:type="gramStart"/>
      <w:r w:rsidRPr="005A2D31">
        <w:t>В зависимости от времени создания и технологических особенностей производства условно выделяют 3 поколения биопротезов: первое поколение — каркасные биопротезы, созданные с применением технологии фик</w:t>
      </w:r>
      <w:r>
        <w:t xml:space="preserve">сации тканей глутаральдегидом  </w:t>
      </w:r>
      <w:r w:rsidRPr="005A2D31">
        <w:t>при высоком давлении (Carpentier-Edwards® standard, Hancock standard®); второе поколение — каркасные биопротезы, созданные с применением технологии фиксации глутаральдегидом при низком давлении с использованием различных сурфактантов (Carpentier-Edwards® S.A.V.™,</w:t>
      </w:r>
      <w:proofErr w:type="gramEnd"/>
      <w:r w:rsidRPr="005A2D31">
        <w:t xml:space="preserve"> </w:t>
      </w:r>
      <w:proofErr w:type="gramStart"/>
      <w:r w:rsidRPr="005A2D31">
        <w:t>Carpentier-Edwards Perimount®, Hancock II®); третье поколение — все бескаркасные ксенобиопротезы и низкопрофильные каркасные биопротезы, созданные с применением технологии «физиологической фиксации» тканей с применением а-аминоолеиновой кислоты (Mosaic®, Freestyle®); кроме того, условно в эту группу можно включить и все гомографты.</w:t>
      </w:r>
      <w:proofErr w:type="gramEnd"/>
      <w:r w:rsidRPr="005A2D31">
        <w:t xml:space="preserve"> Особняком пока стоят различные бескаркасные протезы, полученные путем генной инженерии (в настоящее время находятся в фазе доклинических испытаний). </w:t>
      </w:r>
    </w:p>
    <w:p w:rsidR="00CC2F0B" w:rsidRDefault="00CC2F0B" w:rsidP="00CC2F0B">
      <w:pPr>
        <w:ind w:firstLine="708"/>
      </w:pPr>
      <w:r w:rsidRPr="005A2D31">
        <w:t xml:space="preserve">На сегодняшний день наибольшее распространение получили каркасные биопротезы второго поколения и каркасные и бескаркасные </w:t>
      </w:r>
      <w:r w:rsidRPr="005A2D31">
        <w:lastRenderedPageBreak/>
        <w:t xml:space="preserve">ксенографты третьего поколения, поскольку большинство хирургов имеют наибольший опыт имплантации именно таких протезов, которые </w:t>
      </w:r>
      <w:r>
        <w:t>применяются</w:t>
      </w:r>
      <w:r w:rsidRPr="005A2D31">
        <w:t xml:space="preserve"> уже несколько десятилетий. </w:t>
      </w:r>
    </w:p>
    <w:p w:rsidR="00CC2F0B" w:rsidRDefault="00CC2F0B" w:rsidP="00CC2F0B">
      <w:pPr>
        <w:ind w:firstLine="708"/>
      </w:pPr>
      <w:proofErr w:type="gramStart"/>
      <w:r w:rsidRPr="005A2D31">
        <w:t>Биопротезы второго поколения изготавливаются с применением технологии фиксации тканей при низком или нулевом давлении и при том же посадочном размере манжеты имеют несколько больший диаметр эффективного отверстия клапана (Carpentier-Edwards® S.A.V.™,</w:t>
      </w:r>
      <w:proofErr w:type="gramEnd"/>
      <w:r w:rsidRPr="005A2D31">
        <w:t xml:space="preserve"> </w:t>
      </w:r>
      <w:proofErr w:type="gramStart"/>
      <w:r w:rsidRPr="005A2D31">
        <w:t>Carpentier-Edwards Perimount®, Hancock II®).</w:t>
      </w:r>
      <w:proofErr w:type="gramEnd"/>
      <w:r w:rsidRPr="005A2D31">
        <w:t xml:space="preserve"> Эти биопротезы по праву считаются полностью испытанными и положительно себя зарекомендовавшими. Они предлагают обе основные опции имплантации в аортальной позиции</w:t>
      </w:r>
      <w:r>
        <w:t xml:space="preserve"> (интрааннулярная, супрааннуляр</w:t>
      </w:r>
      <w:r w:rsidRPr="005A2D31">
        <w:t xml:space="preserve">ная) и имеют достаточно длительный срок службы. </w:t>
      </w:r>
      <w:proofErr w:type="gramStart"/>
      <w:r w:rsidRPr="005A2D31">
        <w:t>При создании этих биопротезов применяются различные сурфактанты, такие как натрия додецилсульфат (T6), или технология инкубации фиксированных тканей в этаноле (St.</w:t>
      </w:r>
      <w:proofErr w:type="gramEnd"/>
      <w:r w:rsidRPr="005A2D31">
        <w:t xml:space="preserve"> </w:t>
      </w:r>
      <w:proofErr w:type="gramStart"/>
      <w:r w:rsidRPr="005A2D31">
        <w:t>Jude Medical Links TM).</w:t>
      </w:r>
      <w:proofErr w:type="gramEnd"/>
      <w:r w:rsidRPr="005A2D31">
        <w:t xml:space="preserve"> Такие технологии позволяют сохранить нативную структуру коллагена. </w:t>
      </w:r>
      <w:proofErr w:type="gramStart"/>
      <w:r w:rsidRPr="005A2D31">
        <w:t>Биопротезы третьего поколения (Mosaic®, Freestyle®) также изготавливаются с применением технологии фиксации тканей при низком или нулевом давлении, однако применение новой технологии «физиологической фиксации» обусловливает ряд важных отличий их от протезов предшествующих поколений: повышенную стойкость биологических компонентов протеза к кальцификации, низкопрофильность (для каркасных протезов) и более тонкий и гибкий карк</w:t>
      </w:r>
      <w:r>
        <w:t>ас, более удобный для супраанну</w:t>
      </w:r>
      <w:r w:rsidRPr="005A2D31">
        <w:t xml:space="preserve">лярной имплантации. </w:t>
      </w:r>
      <w:proofErr w:type="gramEnd"/>
    </w:p>
    <w:p w:rsidR="00CC2F0B" w:rsidRDefault="00CC2F0B" w:rsidP="00CC2F0B">
      <w:pPr>
        <w:ind w:firstLine="708"/>
      </w:pPr>
      <w:r w:rsidRPr="005A2D31">
        <w:t xml:space="preserve">Биопротез Hancock II, </w:t>
      </w:r>
      <w:proofErr w:type="gramStart"/>
      <w:r w:rsidRPr="005A2D31">
        <w:t>внедренный</w:t>
      </w:r>
      <w:proofErr w:type="gramEnd"/>
      <w:r w:rsidRPr="005A2D31">
        <w:t xml:space="preserve"> в клиническую практику в конце 70-х годов XX века, представляет собой модернизированную версию предыдущей модели с редуцированным профилем каркаса. Ключевым отличием этой модели от первой является технология фиксации и обработки биологических компонентов протеза, которая позволяет значительно продлить срок службы за счет замедления кальцификации. Каркас этого клапана имеет металлические маркеры, расположенные у верхушек стоек, </w:t>
      </w:r>
      <w:r w:rsidRPr="005A2D31">
        <w:lastRenderedPageBreak/>
        <w:t xml:space="preserve">позволяющие легко визуализировать взаимное расположение стоек рентгенологически. Биопротез Hancock II комплектуется одноразовым держателем CINCH, оснащенным храповым механизмом, облегчающим процедуру посадки клапана за счет подгибания стоек при повороте ручки держателя, что особенно удобно при имплантации клапана в митральную позицию. В настоящее время эта модель наряду с некоторыми моделями других производителей (Carpentier-Edwards® S.A.V™, Carpentier-Edwards Peri-mount®) является одним из наиболее изученных, распространенных и удачных биологических протезов, который применяется кардиохирургами по всему миру уже без малого 30 лет. </w:t>
      </w:r>
    </w:p>
    <w:p w:rsidR="00CC2F0B" w:rsidRDefault="00CC2F0B" w:rsidP="00CC2F0B">
      <w:pPr>
        <w:ind w:firstLine="708"/>
      </w:pPr>
      <w:r w:rsidRPr="005A2D31">
        <w:t>Биопротез Mosaic является представителем третьего поколения каркасных биологических протезов и эволюционным продолжением Hancock</w:t>
      </w:r>
      <w:r>
        <w:rPr>
          <w:rFonts w:ascii="REG" w:hAnsi="REG"/>
          <w:sz w:val="23"/>
          <w:szCs w:val="23"/>
        </w:rPr>
        <w:t xml:space="preserve"> </w:t>
      </w:r>
      <w:r w:rsidRPr="005A2D31">
        <w:t xml:space="preserve">II, изготовленным на основе удачного каркаса предыдущей модели. Этот биопротез был внедрен в клиническую практику в 90-х годах XX века </w:t>
      </w:r>
      <w:r>
        <w:t>(</w:t>
      </w:r>
      <w:r w:rsidRPr="003A00DB">
        <w:rPr>
          <w:lang w:val="en-US"/>
        </w:rPr>
        <w:t>Eichinger</w:t>
      </w:r>
      <w:r w:rsidRPr="00EE2468">
        <w:t xml:space="preserve"> </w:t>
      </w:r>
      <w:r w:rsidRPr="003A00DB">
        <w:rPr>
          <w:lang w:val="en-US"/>
        </w:rPr>
        <w:t>W</w:t>
      </w:r>
      <w:r>
        <w:t xml:space="preserve">. </w:t>
      </w:r>
      <w:r w:rsidRPr="003A00DB">
        <w:rPr>
          <w:lang w:val="en-US"/>
        </w:rPr>
        <w:t>et</w:t>
      </w:r>
      <w:r w:rsidRPr="00EE2468">
        <w:t xml:space="preserve"> </w:t>
      </w:r>
      <w:r w:rsidRPr="003A00DB">
        <w:rPr>
          <w:lang w:val="en-US"/>
        </w:rPr>
        <w:t>al</w:t>
      </w:r>
      <w:r w:rsidRPr="00EE2468">
        <w:t>.</w:t>
      </w:r>
      <w:r>
        <w:t>, 2000)</w:t>
      </w:r>
      <w:r w:rsidRPr="005A2D31">
        <w:t>. Основными отличиями этой модели от предыдущей являются еще более низкий посадочный профиль, а также модернизированная технология стабилизации биологических компонентов протеза с применением «физиологической фиксации» тканей. Этот биопротез также комплектуется одноразовым держателем CINCH с храповым механизмом. При оценке непосредственного результата имплантации этот биопротез является одним из лучших в классе каркасных моделей (относительная в сравнении с бескаркасными протезами простота имплантации; лучшие в сравнении с предыдущей моделью гемодинамические характери</w:t>
      </w:r>
      <w:r>
        <w:t>стики) (</w:t>
      </w:r>
      <w:r w:rsidRPr="003A00DB">
        <w:rPr>
          <w:lang w:val="en-US"/>
        </w:rPr>
        <w:t>Chambers</w:t>
      </w:r>
      <w:r w:rsidRPr="00EE2468">
        <w:t xml:space="preserve"> </w:t>
      </w:r>
      <w:r w:rsidRPr="003A00DB">
        <w:rPr>
          <w:lang w:val="en-US"/>
        </w:rPr>
        <w:t>J</w:t>
      </w:r>
      <w:r>
        <w:t>.</w:t>
      </w:r>
      <w:r w:rsidRPr="003A00DB">
        <w:rPr>
          <w:lang w:val="en-US"/>
        </w:rPr>
        <w:t>B</w:t>
      </w:r>
      <w:r>
        <w:t xml:space="preserve">. </w:t>
      </w:r>
      <w:r w:rsidRPr="003A00DB">
        <w:rPr>
          <w:lang w:val="en-US"/>
        </w:rPr>
        <w:t>et</w:t>
      </w:r>
      <w:r w:rsidRPr="00EE2468">
        <w:t xml:space="preserve"> </w:t>
      </w:r>
      <w:r w:rsidRPr="003A00DB">
        <w:rPr>
          <w:lang w:val="en-US"/>
        </w:rPr>
        <w:t>al</w:t>
      </w:r>
      <w:r w:rsidRPr="00EE2468">
        <w:t>.</w:t>
      </w:r>
      <w:r>
        <w:t>, 2008)</w:t>
      </w:r>
      <w:r w:rsidRPr="005A2D31">
        <w:t>. Этот протез, однако, применяется менее 20 лет, отдаленный клинический резуль</w:t>
      </w:r>
      <w:r>
        <w:t xml:space="preserve">тат исследован недостаточно, и </w:t>
      </w:r>
      <w:r w:rsidRPr="005A2D31">
        <w:t xml:space="preserve">пока рано говорить о его полном превосходстве над предыдущей моделью. </w:t>
      </w:r>
    </w:p>
    <w:p w:rsidR="00CC2F0B" w:rsidRDefault="00CC2F0B" w:rsidP="00CC2F0B">
      <w:pPr>
        <w:ind w:firstLine="708"/>
      </w:pPr>
      <w:r>
        <w:t xml:space="preserve">Наибольшее количество имплантаций из протезов данного поколения и как следствие огромную доказательную базу получил транскатетерный </w:t>
      </w:r>
      <w:r>
        <w:lastRenderedPageBreak/>
        <w:t>клапан Edwards SAPIEN XT™ (EdwardsLifesciencesInc., USA) (рис. 2) (</w:t>
      </w:r>
      <w:r w:rsidRPr="003A00DB">
        <w:rPr>
          <w:lang w:val="en-US"/>
        </w:rPr>
        <w:t>Mack</w:t>
      </w:r>
      <w:r w:rsidRPr="00EE2468">
        <w:t xml:space="preserve"> </w:t>
      </w:r>
      <w:r w:rsidRPr="003A00DB">
        <w:rPr>
          <w:lang w:val="en-US"/>
        </w:rPr>
        <w:t>M</w:t>
      </w:r>
      <w:r w:rsidRPr="00EE2468">
        <w:t>.</w:t>
      </w:r>
      <w:r w:rsidRPr="003A00DB">
        <w:rPr>
          <w:lang w:val="en-US"/>
        </w:rPr>
        <w:t>J</w:t>
      </w:r>
      <w:r>
        <w:t xml:space="preserve">. </w:t>
      </w:r>
      <w:r w:rsidRPr="003A00DB">
        <w:rPr>
          <w:lang w:val="en-US"/>
        </w:rPr>
        <w:t>et</w:t>
      </w:r>
      <w:r w:rsidRPr="00EE2468">
        <w:t xml:space="preserve"> </w:t>
      </w:r>
      <w:r w:rsidRPr="003A00DB">
        <w:rPr>
          <w:lang w:val="en-US"/>
        </w:rPr>
        <w:t>al</w:t>
      </w:r>
      <w:r w:rsidRPr="00EE2468">
        <w:t>.</w:t>
      </w:r>
      <w:r>
        <w:t xml:space="preserve">, 2013). </w:t>
      </w:r>
    </w:p>
    <w:p w:rsidR="00CC2F0B" w:rsidRDefault="00CC2F0B" w:rsidP="00CC2F0B">
      <w:pPr>
        <w:jc w:val="center"/>
      </w:pPr>
      <w:r>
        <w:rPr>
          <w:noProof/>
          <w:lang w:eastAsia="ru-RU"/>
        </w:rPr>
        <w:drawing>
          <wp:inline distT="0" distB="0" distL="0" distR="0">
            <wp:extent cx="4324350" cy="1952625"/>
            <wp:effectExtent l="19050" t="19050" r="19050" b="285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31106" t="20817" r="29770" b="41139"/>
                    <a:stretch/>
                  </pic:blipFill>
                  <pic:spPr bwMode="auto">
                    <a:xfrm>
                      <a:off x="0" y="0"/>
                      <a:ext cx="4324350" cy="19526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2F0B" w:rsidRDefault="00CC2F0B" w:rsidP="00CC2F0B">
      <w:pPr>
        <w:jc w:val="center"/>
      </w:pPr>
      <w:r>
        <w:t>Рис. 2. Пример транскатетерных протезов аортального клапана: - Edwards SAPIEN XT (Edwards Lifesciences, Irvine, CA, USA) [86, 98].</w:t>
      </w:r>
    </w:p>
    <w:p w:rsidR="00CC2F0B" w:rsidRDefault="00CC2F0B" w:rsidP="00CC2F0B">
      <w:r>
        <w:t xml:space="preserve"> </w:t>
      </w:r>
      <w:r>
        <w:tab/>
        <w:t>Для изучения безопасности и эффективности проведены многочисленные крупномасштабные рандомизированные контролируемые исследования. Так, в многоцентровом исследовании PARTNER изучалась краткосрочная эффективность и безопасность ТИАК с использованием протеза Edwards SAPIEN. К концу 1 года наблюдения было продемонстрировано уменьшение смертности от всех причин на 20% и улучшение качества жизни в группе ТИАК, даже с учетом очень высокой (78%) частоты использования баллонной вальвулотомии в группе сравнения (</w:t>
      </w:r>
      <w:r w:rsidRPr="003A00DB">
        <w:rPr>
          <w:lang w:val="en-US"/>
        </w:rPr>
        <w:t>Leon</w:t>
      </w:r>
      <w:r w:rsidRPr="00EE2468">
        <w:t xml:space="preserve"> </w:t>
      </w:r>
      <w:r w:rsidRPr="003A00DB">
        <w:rPr>
          <w:lang w:val="en-US"/>
        </w:rPr>
        <w:t>M</w:t>
      </w:r>
      <w:r w:rsidRPr="00EE2468">
        <w:t>.</w:t>
      </w:r>
      <w:r w:rsidRPr="003A00DB">
        <w:rPr>
          <w:lang w:val="en-US"/>
        </w:rPr>
        <w:t>B</w:t>
      </w:r>
      <w:r>
        <w:t xml:space="preserve">. </w:t>
      </w:r>
      <w:r w:rsidRPr="003A00DB">
        <w:rPr>
          <w:lang w:val="en-US"/>
        </w:rPr>
        <w:t>et</w:t>
      </w:r>
      <w:r w:rsidRPr="00EE2468">
        <w:t xml:space="preserve"> </w:t>
      </w:r>
      <w:r w:rsidRPr="003A00DB">
        <w:rPr>
          <w:lang w:val="en-US"/>
        </w:rPr>
        <w:t>al</w:t>
      </w:r>
      <w:r w:rsidRPr="00EE2468">
        <w:t>.</w:t>
      </w:r>
      <w:r>
        <w:t>, 2010). В когорте</w:t>
      </w:r>
      <w:proofErr w:type="gramStart"/>
      <w:r>
        <w:t xml:space="preserve"> А</w:t>
      </w:r>
      <w:proofErr w:type="gramEnd"/>
      <w:r>
        <w:t>, куда было включено 699 пациентов высокого хирургического риска с симптомным АС, проводилось сравнение результатов трансфеморальной и трансапикальной ТИАК и традиционной хирургической замены АК. Было показано отсутствие достоверных различий в уровне смертности от всех причин в течение 2-летнего наблюдения (33.9% и 35% в группах ТИАК и хирургического протезирования соответственно), несмотря на отмечавшуюся к концу первого года тенденцию к большей частоте неврологических и сосудистых осложнений в группе ТИАК (</w:t>
      </w:r>
      <w:r w:rsidRPr="003A00DB">
        <w:rPr>
          <w:lang w:val="en-US"/>
        </w:rPr>
        <w:t>Adams</w:t>
      </w:r>
      <w:r w:rsidRPr="00EE2468">
        <w:t xml:space="preserve"> </w:t>
      </w:r>
      <w:r w:rsidRPr="003A00DB">
        <w:rPr>
          <w:lang w:val="en-US"/>
        </w:rPr>
        <w:t>D</w:t>
      </w:r>
      <w:r w:rsidRPr="00EE2468">
        <w:t>.</w:t>
      </w:r>
      <w:r w:rsidRPr="003A00DB">
        <w:rPr>
          <w:lang w:val="en-US"/>
        </w:rPr>
        <w:t>H</w:t>
      </w:r>
      <w:r>
        <w:t xml:space="preserve">. </w:t>
      </w:r>
      <w:r w:rsidRPr="003A00DB">
        <w:rPr>
          <w:lang w:val="en-US"/>
        </w:rPr>
        <w:t>et</w:t>
      </w:r>
      <w:r w:rsidRPr="00EE2468">
        <w:t xml:space="preserve"> </w:t>
      </w:r>
      <w:r w:rsidRPr="003A00DB">
        <w:rPr>
          <w:lang w:val="en-US"/>
        </w:rPr>
        <w:t>al</w:t>
      </w:r>
      <w:r w:rsidRPr="00EE2468">
        <w:t>.</w:t>
      </w:r>
      <w:r>
        <w:t xml:space="preserve">, 2014). Напротив, частота «больших» кровотечений, являющаяся мощным предиктором 1-годичной летальности, была выше в группе хирургического лечения. </w:t>
      </w:r>
    </w:p>
    <w:p w:rsidR="00CC2F0B" w:rsidRDefault="00CC2F0B" w:rsidP="00CC2F0B">
      <w:pPr>
        <w:ind w:firstLine="708"/>
      </w:pPr>
      <w:r>
        <w:lastRenderedPageBreak/>
        <w:t>Значительный</w:t>
      </w:r>
      <w:r w:rsidRPr="00FE6A46">
        <w:t xml:space="preserve"> интерес для многих российских кардиохирургических клиник представляют биологические протезы отечественного производства. </w:t>
      </w:r>
    </w:p>
    <w:p w:rsidR="00CC2F0B" w:rsidRDefault="00CC2F0B" w:rsidP="00CC2F0B">
      <w:pPr>
        <w:ind w:firstLine="708"/>
      </w:pPr>
      <w:r w:rsidRPr="00FE6A46">
        <w:t xml:space="preserve">Биопротез </w:t>
      </w:r>
      <w:proofErr w:type="gramStart"/>
      <w:r w:rsidRPr="00FE6A46">
        <w:t>БАКС</w:t>
      </w:r>
      <w:proofErr w:type="gramEnd"/>
      <w:r w:rsidRPr="00FE6A46">
        <w:t xml:space="preserve">, который относят ко второму поколению, </w:t>
      </w:r>
      <w:r>
        <w:t>представляет собой</w:t>
      </w:r>
      <w:r w:rsidRPr="00FE6A46">
        <w:t xml:space="preserve"> каркасн</w:t>
      </w:r>
      <w:r>
        <w:t>ую</w:t>
      </w:r>
      <w:r w:rsidRPr="00FE6A46">
        <w:t xml:space="preserve"> модель </w:t>
      </w:r>
      <w:r>
        <w:t>свиного</w:t>
      </w:r>
      <w:r w:rsidRPr="00FE6A46">
        <w:t xml:space="preserve"> клапанно-аортальн</w:t>
      </w:r>
      <w:r>
        <w:t>ого</w:t>
      </w:r>
      <w:r w:rsidRPr="00FE6A46">
        <w:t xml:space="preserve"> комплекс</w:t>
      </w:r>
      <w:r>
        <w:t>а</w:t>
      </w:r>
      <w:r w:rsidRPr="00FE6A46">
        <w:t>, стабилизированн</w:t>
      </w:r>
      <w:r>
        <w:t>ого</w:t>
      </w:r>
      <w:r w:rsidRPr="00FE6A46">
        <w:t xml:space="preserve"> глутаральдегидом и дополнительно обработанн</w:t>
      </w:r>
      <w:r>
        <w:t>ого</w:t>
      </w:r>
      <w:r w:rsidRPr="00FE6A46">
        <w:t xml:space="preserve"> специфическими ферментами для снижения остаточной антигенности биологического материала протеза. </w:t>
      </w:r>
      <w:proofErr w:type="gramStart"/>
      <w:r w:rsidRPr="00FE6A46">
        <w:t>Особенностью этого биопротеза является его уникальный литой полипропиленовый и покрытый фторопластовой пленкой каркас, представляющий собой два кольца, соединенные между собой шестью гибкими стойками, за счет которых происходят перемещения биологической части протеза внутри каркаса.</w:t>
      </w:r>
      <w:proofErr w:type="gramEnd"/>
      <w:r w:rsidRPr="00FE6A46">
        <w:t xml:space="preserve"> Э</w:t>
      </w:r>
      <w:r>
        <w:t xml:space="preserve">то, вероятно, один из немногих </w:t>
      </w:r>
      <w:r w:rsidRPr="00FE6A46">
        <w:t xml:space="preserve">каркасный биопротез, конструкция которого была разработана исходя из естественной биомеханики корня аорты. В настоящее время </w:t>
      </w:r>
      <w:proofErr w:type="gramStart"/>
      <w:r w:rsidRPr="00FE6A46">
        <w:t>БАКС</w:t>
      </w:r>
      <w:proofErr w:type="gramEnd"/>
      <w:r w:rsidRPr="00FE6A46">
        <w:t xml:space="preserve"> производят для имплантации в аортальную, митральную и трикуспидальную позиции. Согласно данным литературы, применение этого биопротеза сопровождается легкопрогнозируемыми хорошими непосредственными и отдаленными результатами</w:t>
      </w:r>
      <w:r>
        <w:t xml:space="preserve"> (Борисов И.А. и др., 2012)</w:t>
      </w:r>
      <w:r w:rsidRPr="00FE6A46">
        <w:t>.</w:t>
      </w:r>
    </w:p>
    <w:p w:rsidR="00CC2F0B" w:rsidRDefault="00CC2F0B" w:rsidP="00CC2F0B">
      <w:pPr>
        <w:ind w:firstLine="708"/>
      </w:pPr>
      <w:r w:rsidRPr="00FE6A46">
        <w:t>В</w:t>
      </w:r>
      <w:r>
        <w:t>есьма распространенным в</w:t>
      </w:r>
      <w:r w:rsidRPr="00FE6A46">
        <w:t xml:space="preserve"> настоящее время является </w:t>
      </w:r>
      <w:r>
        <w:t xml:space="preserve">и отечественный </w:t>
      </w:r>
      <w:r w:rsidRPr="00FE6A46">
        <w:t>эпоксидобрабо</w:t>
      </w:r>
      <w:r>
        <w:t>танный каркасный протез ПериКор</w:t>
      </w:r>
      <w:r w:rsidRPr="00FE6A46">
        <w:t xml:space="preserve">. </w:t>
      </w:r>
      <w:r>
        <w:t>Он представ</w:t>
      </w:r>
      <w:r w:rsidRPr="00FE6A46">
        <w:t>ляет собой створки свиных аортальных клапанов, подобранные по размерам и свойствам и монтированные на гибком каркасе, манжета которого сформирована из ксеноперикарда и с</w:t>
      </w:r>
      <w:r>
        <w:t>тойки также обшиты ксеноперикар</w:t>
      </w:r>
      <w:r w:rsidRPr="00FE6A46">
        <w:t xml:space="preserve">дом. </w:t>
      </w:r>
      <w:proofErr w:type="gramStart"/>
      <w:r w:rsidRPr="00FE6A46">
        <w:t xml:space="preserve">Отсутствие контакта синтетических компонентов протеза с кровью, уникальная технология фиксации биологических компонентов этой модели наряду с опциональной возможностью антибактериальной и антикальциевой обработки, за счет которых протез приобретает собственную антибактериальную активность и высокую резистентность к кальцификации, делает его весьма привлекательным при необходимости имплантации </w:t>
      </w:r>
      <w:r w:rsidRPr="00FE6A46">
        <w:lastRenderedPageBreak/>
        <w:t>пациентам молодого возраста или больным с инфекционным эндокардитом</w:t>
      </w:r>
      <w:r>
        <w:t xml:space="preserve"> (Кудрявцева Ю.А., 2015)</w:t>
      </w:r>
      <w:r w:rsidRPr="00FE6A46">
        <w:t>.</w:t>
      </w:r>
      <w:proofErr w:type="gramEnd"/>
    </w:p>
    <w:p w:rsidR="00CC2F0B" w:rsidRDefault="00CC2F0B" w:rsidP="00CC2F0B">
      <w:pPr>
        <w:ind w:firstLine="708"/>
      </w:pPr>
      <w:r w:rsidRPr="00274047">
        <w:t>В настоящее время накоплен значительный клинически</w:t>
      </w:r>
      <w:r>
        <w:t>й опыт имплантации ксеноаорталь</w:t>
      </w:r>
      <w:r w:rsidRPr="00274047">
        <w:t xml:space="preserve">ных биопротезов «КемКор» и «Перикор» </w:t>
      </w:r>
      <w:r>
        <w:t>(</w:t>
      </w:r>
      <w:r>
        <w:rPr>
          <w:bdr w:val="none" w:sz="0" w:space="0" w:color="auto" w:frame="1"/>
        </w:rPr>
        <w:t>Караськов</w:t>
      </w:r>
      <w:r w:rsidRPr="001053BE">
        <w:rPr>
          <w:bdr w:val="none" w:sz="0" w:space="0" w:color="auto" w:frame="1"/>
        </w:rPr>
        <w:t xml:space="preserve"> </w:t>
      </w:r>
      <w:r>
        <w:rPr>
          <w:bdr w:val="none" w:sz="0" w:space="0" w:color="auto" w:frame="1"/>
        </w:rPr>
        <w:t>А</w:t>
      </w:r>
      <w:r w:rsidRPr="001053BE">
        <w:rPr>
          <w:bdr w:val="none" w:sz="0" w:space="0" w:color="auto" w:frame="1"/>
        </w:rPr>
        <w:t>.</w:t>
      </w:r>
      <w:r>
        <w:rPr>
          <w:bdr w:val="none" w:sz="0" w:space="0" w:color="auto" w:frame="1"/>
        </w:rPr>
        <w:t>М</w:t>
      </w:r>
      <w:r w:rsidRPr="001053BE">
        <w:rPr>
          <w:bdr w:val="none" w:sz="0" w:space="0" w:color="auto" w:frame="1"/>
        </w:rPr>
        <w:t xml:space="preserve">., </w:t>
      </w:r>
      <w:r>
        <w:rPr>
          <w:bdr w:val="none" w:sz="0" w:space="0" w:color="auto" w:frame="1"/>
        </w:rPr>
        <w:t xml:space="preserve"> и др., 2012)</w:t>
      </w:r>
      <w:r w:rsidRPr="00274047">
        <w:t>. Был проведен ретроспективный сравнительный анализ выживаемости и развития дисфункции у реципиентов механических (</w:t>
      </w:r>
      <w:proofErr w:type="gramStart"/>
      <w:r w:rsidRPr="00274047">
        <w:t>п</w:t>
      </w:r>
      <w:proofErr w:type="gramEnd"/>
      <w:r w:rsidRPr="00274047">
        <w:t>=282) и биологических «КемКор» и «Перикор» (п=321) протезов различных возрастных категорий, оперированных в период с 1995 по 2008 г. Выявлено, что у реципиентов биопротезов в возрасте до 45 лет риск летального исхода минимален, выживаемость к 15-м</w:t>
      </w:r>
      <w:r>
        <w:t>у году наблюдения составляет 83</w:t>
      </w:r>
      <w:r w:rsidRPr="00274047">
        <w:t>%, однако достаточно высок риск реопера</w:t>
      </w:r>
      <w:r>
        <w:t>ции (свобода от реопераций - 57</w:t>
      </w:r>
      <w:r w:rsidRPr="00274047">
        <w:t xml:space="preserve">%). При имплантации механического протеза пациентам этой же возрастной категории выживаемость к 15-му году на 18 % ниже, чем при использовании биологических клапанов. </w:t>
      </w:r>
      <w:proofErr w:type="gramStart"/>
      <w:r w:rsidRPr="00274047">
        <w:t>Иные результаты получены в группе пациентов старше 55 лет, где достоверно более высокая выживаемость у пациентов, которы</w:t>
      </w:r>
      <w:r>
        <w:t>м имплантированы биопротезы (78</w:t>
      </w:r>
      <w:r w:rsidRPr="00274047">
        <w:t>%) - к 15-му году наблюдения отмечена достат</w:t>
      </w:r>
      <w:r>
        <w:t>очно высокая свобода от реопера</w:t>
      </w:r>
      <w:r w:rsidRPr="00274047">
        <w:t xml:space="preserve">ции - 72 %. В то же время имплантация механического протеза у пациентов старше 55 лет дает всего 32 % выживаемости к 12-му году наблюдения </w:t>
      </w:r>
      <w:r>
        <w:t>(Рогулина Н.</w:t>
      </w:r>
      <w:r w:rsidRPr="003A00DB">
        <w:t>В.</w:t>
      </w:r>
      <w:r>
        <w:t xml:space="preserve"> и др., 2014)</w:t>
      </w:r>
      <w:r w:rsidRPr="00274047">
        <w:t>.</w:t>
      </w:r>
      <w:proofErr w:type="gramEnd"/>
      <w:r w:rsidRPr="00274047">
        <w:t xml:space="preserve"> Полученные результаты свидетельствуют о выборе в пользу биопротезов для катег</w:t>
      </w:r>
      <w:r>
        <w:t>ории пациентов старше 55 лет. </w:t>
      </w:r>
    </w:p>
    <w:p w:rsidR="00CC2F0B" w:rsidRDefault="00CC2F0B" w:rsidP="00CC2F0B">
      <w:pPr>
        <w:ind w:firstLine="708"/>
      </w:pPr>
      <w:r w:rsidRPr="00FE6A46">
        <w:t xml:space="preserve">Наряду с биологическими протезами БАКС и Пери-Кор широкое распространение в России получила продукция отдела биомедицинской технологии НЦССХ им. А. Н. Бакулева: каркасные и бескаркасные ксено-перикардиальные и криосохраненные трансплантаты БиоЛАБ, в зависимости от </w:t>
      </w:r>
      <w:proofErr w:type="gramStart"/>
      <w:r w:rsidRPr="00FE6A46">
        <w:t>модели</w:t>
      </w:r>
      <w:proofErr w:type="gramEnd"/>
      <w:r w:rsidRPr="00FE6A46">
        <w:t xml:space="preserve"> предназначенные для применения практически во всех позициях при самых разнообразных типах приобретенных и врожденных пороков сердца </w:t>
      </w:r>
      <w:r>
        <w:t>(</w:t>
      </w:r>
      <w:r w:rsidRPr="003A00DB">
        <w:t>Гариленков Д. В.</w:t>
      </w:r>
      <w:r>
        <w:t xml:space="preserve"> и др., 2004)</w:t>
      </w:r>
      <w:r w:rsidRPr="00FE6A46">
        <w:t>.</w:t>
      </w:r>
    </w:p>
    <w:p w:rsidR="00CC2F0B" w:rsidRPr="00274047" w:rsidRDefault="00CC2F0B" w:rsidP="00CC2F0B">
      <w:pPr>
        <w:ind w:firstLine="708"/>
      </w:pPr>
      <w:proofErr w:type="gramStart"/>
      <w:r>
        <w:t xml:space="preserve">Что касается </w:t>
      </w:r>
      <w:r w:rsidRPr="005A2D31">
        <w:t>биопротезов</w:t>
      </w:r>
      <w:r>
        <w:t xml:space="preserve"> </w:t>
      </w:r>
      <w:r w:rsidRPr="005A2D31">
        <w:t>третьего поколения</w:t>
      </w:r>
      <w:r>
        <w:t>, то их</w:t>
      </w:r>
      <w:r w:rsidRPr="005A2D31">
        <w:t xml:space="preserve"> </w:t>
      </w:r>
      <w:r>
        <w:t>в</w:t>
      </w:r>
      <w:r w:rsidRPr="005A2D31">
        <w:t xml:space="preserve">ажным свойством является появление бескаркасных ксенографтов, дизайн которых призван в </w:t>
      </w:r>
      <w:r w:rsidRPr="005A2D31">
        <w:lastRenderedPageBreak/>
        <w:t>первую очередь повысить эффективную площадь отверстия клапана.</w:t>
      </w:r>
      <w:proofErr w:type="gramEnd"/>
      <w:r w:rsidRPr="005A2D31">
        <w:t xml:space="preserve"> </w:t>
      </w:r>
      <w:r>
        <w:t>Они</w:t>
      </w:r>
      <w:r w:rsidRPr="005A2D31">
        <w:t xml:space="preserve"> предназначены только для протезирования аортального клапана. Биопротезы третьего поколения создаются с применением а-аминоолеиновой кислоты. При этом также полностью сохраняется нативная спиралевидная структура коллагена и создается химическая защита тканей створок за счет связывания а-аминоолеиновой кислотой молекул глутаральдегида, после чего не остается свободных валентност</w:t>
      </w:r>
      <w:r>
        <w:t>ей для связывания ионов кальция.</w:t>
      </w:r>
    </w:p>
    <w:p w:rsidR="00CC2F0B" w:rsidRDefault="00CC2F0B" w:rsidP="00CC2F0B">
      <w:pPr>
        <w:ind w:firstLine="708"/>
      </w:pPr>
      <w:r w:rsidRPr="00FE6A46">
        <w:t>Примером протезов</w:t>
      </w:r>
      <w:r>
        <w:rPr>
          <w:rFonts w:ascii="REG" w:eastAsia="Times New Roman" w:hAnsi="REG"/>
          <w:sz w:val="23"/>
          <w:szCs w:val="23"/>
        </w:rPr>
        <w:t xml:space="preserve"> </w:t>
      </w:r>
      <w:r w:rsidRPr="00FE6A46">
        <w:t>третьего поколения является</w:t>
      </w:r>
      <w:r>
        <w:rPr>
          <w:rFonts w:ascii="REG" w:eastAsia="Times New Roman" w:hAnsi="REG"/>
          <w:sz w:val="23"/>
          <w:szCs w:val="23"/>
        </w:rPr>
        <w:t xml:space="preserve"> </w:t>
      </w:r>
      <w:r w:rsidRPr="005A2D31">
        <w:t>бескаркасны</w:t>
      </w:r>
      <w:r>
        <w:t>й</w:t>
      </w:r>
      <w:r w:rsidRPr="005A2D31">
        <w:t xml:space="preserve"> протез Freestyle, который впервые был имплантирован в 1992 г. Эта модель представляет собой цельный корень аорты с прилегающей частью восходящей аорты свиньи без синтетического каркаса, что обусловливает полную сохранность геометрии клапана и отсутствие каких-либо препятствий т</w:t>
      </w:r>
      <w:r>
        <w:t>ранспротезному потоку крови</w:t>
      </w:r>
      <w:r w:rsidRPr="005A2D31">
        <w:t xml:space="preserve">. Отсутствие синтетического каркаса и шовного кольца увеличивает эффективную площадь отверстия клапана в сравнении с каркасными моделями такого же диаметра, что может быть важным для пациентов с узким фиброзным кольцом аортального клапана </w:t>
      </w:r>
      <w:r>
        <w:t>(</w:t>
      </w:r>
      <w:r w:rsidRPr="003A00DB">
        <w:rPr>
          <w:lang w:val="en-US"/>
        </w:rPr>
        <w:t>Gulbins</w:t>
      </w:r>
      <w:r w:rsidRPr="001053BE">
        <w:t xml:space="preserve"> </w:t>
      </w:r>
      <w:r w:rsidRPr="003A00DB">
        <w:rPr>
          <w:lang w:val="en-US"/>
        </w:rPr>
        <w:t>H</w:t>
      </w:r>
      <w:r w:rsidRPr="001053BE">
        <w:t xml:space="preserve">., </w:t>
      </w:r>
      <w:r w:rsidRPr="003A00DB">
        <w:rPr>
          <w:lang w:val="en-US"/>
        </w:rPr>
        <w:t>Reichenspurner</w:t>
      </w:r>
      <w:r w:rsidRPr="001053BE">
        <w:t xml:space="preserve"> </w:t>
      </w:r>
      <w:r w:rsidRPr="003A00DB">
        <w:rPr>
          <w:lang w:val="en-US"/>
        </w:rPr>
        <w:t>H</w:t>
      </w:r>
      <w:r w:rsidRPr="001053BE">
        <w:t>.</w:t>
      </w:r>
      <w:r>
        <w:t>, 2009)</w:t>
      </w:r>
      <w:r w:rsidRPr="005A2D31">
        <w:t>. В зависимости от ситуации этот протез может быть использован для полной замены корня аорты или имплантирован внутриаортально или субкоронарно.</w:t>
      </w:r>
    </w:p>
    <w:p w:rsidR="00CC2F0B" w:rsidRDefault="00CC2F0B" w:rsidP="00CC2F0B">
      <w:pPr>
        <w:ind w:firstLine="708"/>
      </w:pPr>
      <w:r>
        <w:t>Еще одним представителем протезов третьего поколения является протез CoreValve (</w:t>
      </w:r>
      <w:r w:rsidRPr="003A00DB">
        <w:rPr>
          <w:lang w:val="en-US"/>
        </w:rPr>
        <w:t>Serruys</w:t>
      </w:r>
      <w:r w:rsidRPr="001053BE">
        <w:t xml:space="preserve"> </w:t>
      </w:r>
      <w:r w:rsidRPr="003A00DB">
        <w:rPr>
          <w:lang w:val="en-US"/>
        </w:rPr>
        <w:t>P</w:t>
      </w:r>
      <w:r>
        <w:t>.</w:t>
      </w:r>
      <w:r w:rsidRPr="003A00DB">
        <w:rPr>
          <w:lang w:val="en-US"/>
        </w:rPr>
        <w:t>W</w:t>
      </w:r>
      <w:r>
        <w:t xml:space="preserve">. </w:t>
      </w:r>
      <w:r w:rsidRPr="003A00DB">
        <w:rPr>
          <w:lang w:val="en-US"/>
        </w:rPr>
        <w:t>et</w:t>
      </w:r>
      <w:r w:rsidRPr="001053BE">
        <w:t xml:space="preserve"> </w:t>
      </w:r>
      <w:r w:rsidRPr="003A00DB">
        <w:rPr>
          <w:lang w:val="en-US"/>
        </w:rPr>
        <w:t>al</w:t>
      </w:r>
      <w:r w:rsidRPr="001053BE">
        <w:t>.</w:t>
      </w:r>
      <w:r>
        <w:t>, 2009)</w:t>
      </w:r>
      <w:r w:rsidRPr="001053BE">
        <w:t xml:space="preserve"> </w:t>
      </w:r>
      <w:r>
        <w:t>(рис. 3).</w:t>
      </w:r>
    </w:p>
    <w:p w:rsidR="00CC2F0B" w:rsidRDefault="00CC2F0B" w:rsidP="00CC2F0B">
      <w:pPr>
        <w:ind w:firstLine="708"/>
        <w:jc w:val="center"/>
      </w:pPr>
      <w:r>
        <w:rPr>
          <w:noProof/>
          <w:lang w:eastAsia="ru-RU"/>
        </w:rPr>
        <w:drawing>
          <wp:inline distT="0" distB="0" distL="0" distR="0">
            <wp:extent cx="4610100" cy="2486025"/>
            <wp:effectExtent l="19050" t="19050" r="19050" b="285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31106" t="57933" r="29770" b="5323"/>
                    <a:stretch/>
                  </pic:blipFill>
                  <pic:spPr bwMode="auto">
                    <a:xfrm>
                      <a:off x="0" y="0"/>
                      <a:ext cx="4610100" cy="24860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2F0B" w:rsidRDefault="00CC2F0B" w:rsidP="00CC2F0B">
      <w:pPr>
        <w:jc w:val="center"/>
      </w:pPr>
      <w:r>
        <w:lastRenderedPageBreak/>
        <w:t>Рис. 3. Пример транскатетерного протеза аортального клапана  третьей генерации CoreValve (Medtronic Inc, Minneapolis, MN, USA).</w:t>
      </w:r>
    </w:p>
    <w:p w:rsidR="00CC2F0B" w:rsidRDefault="00CC2F0B" w:rsidP="00CC2F0B">
      <w:pPr>
        <w:ind w:firstLine="708"/>
      </w:pPr>
      <w:proofErr w:type="gramStart"/>
      <w:r>
        <w:t>Основным отличием клапана CoreValve от вышеупомянутого Edwards SAPIEN является то, что первый является саморасширяемым протезом, тогда как второй – баллон-расширяемый клапан.</w:t>
      </w:r>
      <w:proofErr w:type="gramEnd"/>
      <w:r>
        <w:t xml:space="preserve"> Клапан CoreValve невозможно имплантировать трансапикальным доступом, при этом можно изменить его позицию во время процедуры. В свою очередь клапан Edwards SAPIEN может быть имплантирован практически с любой позиции и, вследствие этого, процедура протезирования клапана может осуществляться в отличие от предыдущего клапана со всех 4 позиций.  </w:t>
      </w:r>
    </w:p>
    <w:p w:rsidR="00CC2F0B" w:rsidRDefault="00CC2F0B" w:rsidP="00CC2F0B">
      <w:pPr>
        <w:ind w:firstLine="708"/>
      </w:pPr>
      <w:r>
        <w:t>Изучению результатов ТИАК с применением клапана Medtronic CoreValve было посвящено многоцентровое контролируемое исследование Medtronic CoreValve U.S. Pivotal Trial, куда вошли 795 пациентов высокого риска, рандомизированные в группы ТИАК и традиционного хирургического лечения. Дизайн этого исследования в целом аналогичен когорте</w:t>
      </w:r>
      <w:proofErr w:type="gramStart"/>
      <w:r>
        <w:t xml:space="preserve"> А</w:t>
      </w:r>
      <w:proofErr w:type="gramEnd"/>
      <w:r>
        <w:t xml:space="preserve"> исследования PARTNER. Смертность от всех причин в группе ТИАК оказалась достоверно ниже и составила к концу 1 года наблюдения 14.2%, в сравнении с группой хирургического лечения - 19.1% (</w:t>
      </w:r>
      <w:r w:rsidRPr="003A00DB">
        <w:rPr>
          <w:lang w:val="en-US"/>
        </w:rPr>
        <w:t>Reardon</w:t>
      </w:r>
      <w:r w:rsidRPr="001053BE">
        <w:t xml:space="preserve"> </w:t>
      </w:r>
      <w:r w:rsidRPr="003A00DB">
        <w:rPr>
          <w:lang w:val="en-US"/>
        </w:rPr>
        <w:t>M</w:t>
      </w:r>
      <w:r w:rsidRPr="001053BE">
        <w:t>.</w:t>
      </w:r>
      <w:r w:rsidRPr="003A00DB">
        <w:rPr>
          <w:lang w:val="en-US"/>
        </w:rPr>
        <w:t>J</w:t>
      </w:r>
      <w:r>
        <w:t xml:space="preserve">. </w:t>
      </w:r>
      <w:r w:rsidRPr="003A00DB">
        <w:rPr>
          <w:lang w:val="en-US"/>
        </w:rPr>
        <w:t>et</w:t>
      </w:r>
      <w:r w:rsidRPr="001053BE">
        <w:t xml:space="preserve"> </w:t>
      </w:r>
      <w:r w:rsidRPr="003A00DB">
        <w:rPr>
          <w:lang w:val="en-US"/>
        </w:rPr>
        <w:t>al</w:t>
      </w:r>
      <w:r w:rsidRPr="001053BE">
        <w:t>.</w:t>
      </w:r>
      <w:r>
        <w:t xml:space="preserve">, 2015).  Оптимистичные результаты вышеупомянутых исследований и постоянно накапливающиеся данные крупных национальных (FRANCE-2, GARY, UK TAVI Registry и др.) и международных (SOURCE) регистров ТИАК послужили стимулом к расширению показаний к ТИАК за счет пациентов промежуточного хирургического риска. В настоящее время проводятся испытания PARTNER II (когорта А) с клапаном Edwards SAPIEN XT (2000 пациентов) и SURTAVI с клапаном Medtronic CoreValve (2500 пациентов), в которых изучаются сравнительные результаты ТИАК с использованием этих видов транскатетерных клапанов и традиционного хирургического протезирования АК у больных промежуточного риска. Интересно, что дизайн исследования SURTAVI предполагает выделение в </w:t>
      </w:r>
      <w:proofErr w:type="gramStart"/>
      <w:r>
        <w:t>обоих</w:t>
      </w:r>
      <w:proofErr w:type="gramEnd"/>
      <w:r>
        <w:t xml:space="preserve"> группах подгрупп пациентов с выраженной сопутствующей ИБС, </w:t>
      </w:r>
      <w:r>
        <w:lastRenderedPageBreak/>
        <w:t xml:space="preserve">которым будет выполняться одновременная реваскуляризация миокарда: либо чрескожное вмешательство (до или во время ТИАК), либо одномоментная операция коронарного шунтирования (в группе хирургического протезирования АК).  </w:t>
      </w:r>
    </w:p>
    <w:p w:rsidR="00CC2F0B" w:rsidRDefault="00CC2F0B" w:rsidP="00CC2F0B">
      <w:pPr>
        <w:ind w:firstLine="708"/>
      </w:pPr>
      <w:r w:rsidRPr="00274047">
        <w:t xml:space="preserve">В 2012 г. была проведена первая имплантация пациенту клапана «ТиАра» </w:t>
      </w:r>
      <w:r>
        <w:t>(</w:t>
      </w:r>
      <w:r w:rsidRPr="00DB5883">
        <w:t>Астапов Д. А.</w:t>
      </w:r>
      <w:r>
        <w:t xml:space="preserve"> и др., 2013)</w:t>
      </w:r>
      <w:r w:rsidRPr="00274047">
        <w:t>. Новая модель протеза имеет инновационный дизайн: матер</w:t>
      </w:r>
      <w:r>
        <w:t>иал каркаса является рентгенкон</w:t>
      </w:r>
      <w:r w:rsidRPr="00274047">
        <w:t>трастным, что позволяет оценить положение клапана после операции; эластичный шовный материал минимизирует нагрузку на элементы протеза. Биопротез может деформироваться в процессе сердечного цикла в соответствии с деформ</w:t>
      </w:r>
      <w:r>
        <w:t>ациями корня аорты реципиента. </w:t>
      </w:r>
    </w:p>
    <w:p w:rsidR="00CC2F0B" w:rsidRDefault="00CC2F0B" w:rsidP="00CC2F0B">
      <w:pPr>
        <w:ind w:firstLine="708"/>
      </w:pPr>
      <w:r w:rsidRPr="005A2D31">
        <w:t>Относительным недостатком практически всех бескаркасных биопротезов является более сложная в сравнении с каркасными моделями техника имплантации.</w:t>
      </w:r>
      <w:r>
        <w:rPr>
          <w:rFonts w:ascii="REG" w:hAnsi="REG"/>
          <w:sz w:val="23"/>
          <w:szCs w:val="23"/>
        </w:rPr>
        <w:t xml:space="preserve"> </w:t>
      </w:r>
      <w:r w:rsidRPr="00274047">
        <w:t>Кроме того, несмотря на хорошую клиническую эффективнос</w:t>
      </w:r>
      <w:r>
        <w:t>ть ксеноаортальных биопротезов</w:t>
      </w:r>
      <w:r w:rsidRPr="00274047">
        <w:t>, существует ряд проблем, связанных с качеством биоматериала, со стандартизацией исходного сырья - по толщине, однородности и геометрическим размерам створок аортального клапана свиньи</w:t>
      </w:r>
      <w:r>
        <w:t xml:space="preserve"> (Стасев А. Н. и др., 2013)</w:t>
      </w:r>
      <w:r w:rsidRPr="00274047">
        <w:t>. В связи с э</w:t>
      </w:r>
      <w:r>
        <w:t>тим как зарубежные, так и отече</w:t>
      </w:r>
      <w:r w:rsidRPr="00274047">
        <w:t>ственные производители для изготовления створок протеза начали использовать ксеноперикард крупного рогатого скота. Симметричность функционирования створок, высокая пропускная способность за счет снижения толщины материала и, как следствие, большая эффективная площадь открытия обусловили более высокую гемодинамическую эффективность ксеноперикардиальных биопротезов.</w:t>
      </w:r>
    </w:p>
    <w:p w:rsidR="00CC2F0B" w:rsidRPr="00274047" w:rsidRDefault="00CC2F0B" w:rsidP="00CC2F0B">
      <w:pPr>
        <w:ind w:firstLine="708"/>
      </w:pPr>
      <w:r w:rsidRPr="00274047">
        <w:t xml:space="preserve">Применение современных технологий с учетом отдаленных результатов имплантации биопротезов привело к созданию следующего поколения биопротеза для дистанционного протезирования и репротезирования по технологии «Valve-in-valve» с целью снижения времени проведения и травматичности операции, особенно для пациентов, имеющих высокий риск открытых вмешательств. Использование современных методов </w:t>
      </w:r>
      <w:r w:rsidRPr="00274047">
        <w:lastRenderedPageBreak/>
        <w:t xml:space="preserve">компьютерного моделирования позволило подобрать оптимальную жесткость и геометрию опорного каркаса, а также рассчитать параметры створчатого аппарата, обеспечивающие необходимую высоту зоны коаптации биопротеза и оптимальные гидродинамические характеристики протеза (рис. </w:t>
      </w:r>
      <w:r>
        <w:t>4</w:t>
      </w:r>
      <w:r w:rsidRPr="00274047">
        <w:t>).</w:t>
      </w:r>
    </w:p>
    <w:p w:rsidR="00CC2F0B" w:rsidRDefault="00CC2F0B" w:rsidP="00CC2F0B"/>
    <w:p w:rsidR="00CC2F0B" w:rsidRDefault="00CC2F0B" w:rsidP="00CC2F0B"/>
    <w:p w:rsidR="00CC2F0B" w:rsidRDefault="00CC2F0B" w:rsidP="00CC2F0B"/>
    <w:p w:rsidR="00CC2F0B" w:rsidRDefault="00CC2F0B" w:rsidP="00CC2F0B"/>
    <w:p w:rsidR="00CC2F0B" w:rsidRDefault="00CC2F0B" w:rsidP="00CC2F0B">
      <w:pPr>
        <w:jc w:val="center"/>
      </w:pPr>
      <w:r>
        <w:rPr>
          <w:noProof/>
          <w:lang w:eastAsia="ru-RU"/>
        </w:rPr>
        <w:drawing>
          <wp:inline distT="0" distB="0" distL="0" distR="0">
            <wp:extent cx="5305425" cy="2790825"/>
            <wp:effectExtent l="19050" t="19050" r="28575" b="285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17477" t="36787" r="26243" b="11882"/>
                    <a:stretch/>
                  </pic:blipFill>
                  <pic:spPr bwMode="auto">
                    <a:xfrm>
                      <a:off x="0" y="0"/>
                      <a:ext cx="5305425" cy="2790825"/>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2F0B" w:rsidRDefault="00CC2F0B" w:rsidP="00CC2F0B">
      <w:pPr>
        <w:jc w:val="center"/>
      </w:pPr>
      <w:r w:rsidRPr="00274047">
        <w:t>Р</w:t>
      </w:r>
      <w:r w:rsidRPr="00274047">
        <w:rPr>
          <w:rFonts w:hint="eastAsia"/>
        </w:rPr>
        <w:t>и</w:t>
      </w:r>
      <w:r w:rsidRPr="00274047">
        <w:t xml:space="preserve">с. 4. Протез для бесшовной имплантации и установки «Valve-in-valve»»: а - в свободном состоянии, </w:t>
      </w:r>
      <w:proofErr w:type="gramStart"/>
      <w:r w:rsidRPr="00274047">
        <w:t>б</w:t>
      </w:r>
      <w:proofErr w:type="gramEnd"/>
      <w:r w:rsidRPr="00274047">
        <w:t xml:space="preserve"> - имплантированный в биопротез «ЮниЛайн» 3</w:t>
      </w:r>
      <w:r>
        <w:t>0 мм (ЗАО «НеоКор», Кемерово) </w:t>
      </w:r>
    </w:p>
    <w:p w:rsidR="00CC2F0B" w:rsidRPr="00274047" w:rsidRDefault="00CC2F0B" w:rsidP="00CC2F0B">
      <w:pPr>
        <w:ind w:firstLine="708"/>
      </w:pPr>
      <w:r w:rsidRPr="00274047">
        <w:t xml:space="preserve">Проведены экспериментальные исследования по оценке функциональных характеристик биопротеза с использованием пульс-дупликатора Vivitro (Vivitro Labs, Канада) в условиях воссоздания нормального физиологического потока. </w:t>
      </w:r>
      <w:proofErr w:type="gramStart"/>
      <w:r w:rsidRPr="00274047">
        <w:t>Было</w:t>
      </w:r>
      <w:r>
        <w:t xml:space="preserve"> </w:t>
      </w:r>
      <w:r w:rsidRPr="00274047">
        <w:t xml:space="preserve">показано, что транспротезный градиент и эффективная площадь отверстия (ЕОА) между исходным протезом с «дисфункцией» и установленным в него бесшовным устройством различались незначительно - увеличение среднего транспротезного градиента составило 0,4 мм рт. ст. (с 2,8 до 3,2 мм рт. ст.), падение ЕОА - на 6 </w:t>
      </w:r>
      <w:r w:rsidRPr="00274047">
        <w:lastRenderedPageBreak/>
        <w:t>%, что подтверждает перспективность разработанной конструкции</w:t>
      </w:r>
      <w:r>
        <w:t xml:space="preserve"> (Кудрявцева Ю.А., 2015)</w:t>
      </w:r>
      <w:r w:rsidRPr="00274047">
        <w:t>.</w:t>
      </w:r>
      <w:proofErr w:type="gramEnd"/>
    </w:p>
    <w:p w:rsidR="00CC2F0B" w:rsidRDefault="00CC2F0B" w:rsidP="00CC2F0B">
      <w:pPr>
        <w:pStyle w:val="a7"/>
        <w:numPr>
          <w:ilvl w:val="1"/>
          <w:numId w:val="5"/>
        </w:numPr>
        <w:jc w:val="center"/>
        <w:rPr>
          <w:rFonts w:ascii="REG" w:eastAsia="Times New Roman" w:hAnsi="REG"/>
          <w:sz w:val="23"/>
          <w:szCs w:val="23"/>
        </w:rPr>
      </w:pPr>
      <w:r>
        <w:rPr>
          <w:rFonts w:ascii="REG" w:eastAsia="Times New Roman" w:hAnsi="REG"/>
          <w:sz w:val="23"/>
          <w:szCs w:val="23"/>
        </w:rPr>
        <w:br w:type="page"/>
      </w:r>
    </w:p>
    <w:p w:rsidR="00CC2F0B" w:rsidRPr="000F5741" w:rsidRDefault="00CC2F0B" w:rsidP="00CC2F0B">
      <w:pPr>
        <w:pStyle w:val="a7"/>
        <w:numPr>
          <w:ilvl w:val="1"/>
          <w:numId w:val="3"/>
        </w:numPr>
        <w:jc w:val="center"/>
        <w:rPr>
          <w:b/>
        </w:rPr>
      </w:pPr>
      <w:r w:rsidRPr="000F5741">
        <w:rPr>
          <w:b/>
        </w:rPr>
        <w:lastRenderedPageBreak/>
        <w:t>Основные доступы при</w:t>
      </w:r>
      <w:r w:rsidRPr="000F5741">
        <w:rPr>
          <w:b/>
          <w:shd w:val="clear" w:color="auto" w:fill="FFFFFF"/>
        </w:rPr>
        <w:t xml:space="preserve"> эндоваскулярной имплантации протезов аортального клапана</w:t>
      </w:r>
    </w:p>
    <w:p w:rsidR="00CC2F0B" w:rsidRDefault="00CC2F0B" w:rsidP="00CC2F0B">
      <w:pPr>
        <w:ind w:firstLine="708"/>
      </w:pPr>
      <w:r>
        <w:t xml:space="preserve">Одновременно с поиском различных вариантов протезов усилия специалистов направлены на изучение возможных вариантов доставки клапанов, т.е.  сравнительный анализ эффективности различных доступов. </w:t>
      </w:r>
      <w:r w:rsidRPr="002F62CC">
        <w:t>В настоящее время во всем мире при проведении ТИАК используются несколько доступов</w:t>
      </w:r>
      <w:r>
        <w:t xml:space="preserve"> – </w:t>
      </w:r>
      <w:r w:rsidRPr="002F62CC">
        <w:t xml:space="preserve"> в трансфеморальный, трансапикальный, трансаортальный, и выбор </w:t>
      </w:r>
      <w:r>
        <w:t>оптимального доступа</w:t>
      </w:r>
      <w:r w:rsidRPr="002F62CC">
        <w:t xml:space="preserve"> становится ключевым вопросом успеха протезирования АК. </w:t>
      </w:r>
      <w:r>
        <w:t>На сегодняшний день, чаще всего применяются и, соответственно, имеют большую доказательную базу трансфеморальный и трансапикальный доступы.</w:t>
      </w:r>
    </w:p>
    <w:p w:rsidR="00CC2F0B" w:rsidRDefault="00CC2F0B" w:rsidP="00CC2F0B">
      <w:pPr>
        <w:ind w:firstLine="708"/>
      </w:pPr>
      <w:r w:rsidRPr="002F62CC">
        <w:t xml:space="preserve">По данным Европейского регистра, а также регистров ТИАК Великобритании и США, у 75% больным случаев ТИАК </w:t>
      </w:r>
      <w:proofErr w:type="gramStart"/>
      <w:r w:rsidRPr="002F62CC">
        <w:t>проведена</w:t>
      </w:r>
      <w:proofErr w:type="gramEnd"/>
      <w:r w:rsidRPr="002F62CC">
        <w:t xml:space="preserve"> с использованием трансфеморального доступа, при этом выбор доступа осуществлялся исходя из данных анатомии АК и клинико</w:t>
      </w:r>
      <w:r>
        <w:t>-</w:t>
      </w:r>
      <w:r w:rsidRPr="002F62CC">
        <w:t xml:space="preserve">инструментальных характеристик больного. </w:t>
      </w:r>
      <w:r w:rsidRPr="00623DD0">
        <w:t>Б</w:t>
      </w:r>
      <w:r>
        <w:t>лагодаря</w:t>
      </w:r>
      <w:r w:rsidRPr="00623DD0">
        <w:t xml:space="preserve"> малоинвазивн</w:t>
      </w:r>
      <w:r>
        <w:t>ости</w:t>
      </w:r>
      <w:r w:rsidRPr="00623DD0">
        <w:t xml:space="preserve">, трансфеморальный </w:t>
      </w:r>
      <w:r>
        <w:t>доступ</w:t>
      </w:r>
      <w:r w:rsidRPr="00623DD0">
        <w:t xml:space="preserve"> </w:t>
      </w:r>
      <w:r>
        <w:t>стал</w:t>
      </w:r>
      <w:r w:rsidRPr="00623DD0">
        <w:t xml:space="preserve"> наиболее широко используемым при выполнении процедуры </w:t>
      </w:r>
      <w:r>
        <w:t>ТИАК</w:t>
      </w:r>
      <w:r w:rsidRPr="00623DD0">
        <w:t>, что подтверждается многими исследова</w:t>
      </w:r>
      <w:r>
        <w:t>ниями, регистрами и метаанализа</w:t>
      </w:r>
      <w:r w:rsidRPr="00623DD0">
        <w:t>ми (</w:t>
      </w:r>
      <w:r w:rsidRPr="00A636EB">
        <w:t>Имаев Т.Э.</w:t>
      </w:r>
      <w:r>
        <w:t xml:space="preserve"> и др., 2015; </w:t>
      </w:r>
      <w:r w:rsidRPr="00A636EB">
        <w:rPr>
          <w:lang w:val="en-US"/>
        </w:rPr>
        <w:t>Bosmans</w:t>
      </w:r>
      <w:r w:rsidRPr="003A4DC3">
        <w:t xml:space="preserve"> </w:t>
      </w:r>
      <w:r w:rsidRPr="00A636EB">
        <w:rPr>
          <w:lang w:val="en-US"/>
        </w:rPr>
        <w:t>J</w:t>
      </w:r>
      <w:r w:rsidRPr="003A4DC3">
        <w:t>.</w:t>
      </w:r>
      <w:r w:rsidRPr="00A636EB">
        <w:rPr>
          <w:lang w:val="en-US"/>
        </w:rPr>
        <w:t>M</w:t>
      </w:r>
      <w:r>
        <w:t xml:space="preserve">. </w:t>
      </w:r>
      <w:r w:rsidRPr="00A636EB">
        <w:rPr>
          <w:lang w:val="en-US"/>
        </w:rPr>
        <w:t>et</w:t>
      </w:r>
      <w:r w:rsidRPr="003A4DC3">
        <w:t xml:space="preserve"> </w:t>
      </w:r>
      <w:r w:rsidRPr="00A636EB">
        <w:rPr>
          <w:lang w:val="en-US"/>
        </w:rPr>
        <w:t>al</w:t>
      </w:r>
      <w:r w:rsidRPr="003A4DC3">
        <w:t>.</w:t>
      </w:r>
      <w:r>
        <w:t>, 2011;</w:t>
      </w:r>
      <w:r w:rsidRPr="003A4DC3">
        <w:t xml:space="preserve"> </w:t>
      </w:r>
      <w:r w:rsidRPr="00A636EB">
        <w:rPr>
          <w:lang w:val="en-US"/>
        </w:rPr>
        <w:t>Gilard</w:t>
      </w:r>
      <w:r w:rsidRPr="003A4DC3">
        <w:t xml:space="preserve"> </w:t>
      </w:r>
      <w:r w:rsidRPr="00A636EB">
        <w:rPr>
          <w:lang w:val="en-US"/>
        </w:rPr>
        <w:t>M</w:t>
      </w:r>
      <w:r>
        <w:t xml:space="preserve">. </w:t>
      </w:r>
      <w:r w:rsidRPr="00A636EB">
        <w:rPr>
          <w:lang w:val="en-US"/>
        </w:rPr>
        <w:t>et</w:t>
      </w:r>
      <w:r w:rsidRPr="003A4DC3">
        <w:t xml:space="preserve"> </w:t>
      </w:r>
      <w:r w:rsidRPr="00A636EB">
        <w:rPr>
          <w:lang w:val="en-US"/>
        </w:rPr>
        <w:t>al</w:t>
      </w:r>
      <w:r w:rsidRPr="003A4DC3">
        <w:t>.</w:t>
      </w:r>
      <w:r>
        <w:t xml:space="preserve">, 2012; </w:t>
      </w:r>
      <w:r w:rsidRPr="003A4DC3">
        <w:t xml:space="preserve"> </w:t>
      </w:r>
      <w:r w:rsidRPr="00A636EB">
        <w:rPr>
          <w:lang w:val="en-US"/>
        </w:rPr>
        <w:t>Jilaihawi</w:t>
      </w:r>
      <w:r w:rsidRPr="003A4DC3">
        <w:t xml:space="preserve"> </w:t>
      </w:r>
      <w:r w:rsidRPr="00A636EB">
        <w:rPr>
          <w:lang w:val="en-US"/>
        </w:rPr>
        <w:t>H</w:t>
      </w:r>
      <w:r>
        <w:t xml:space="preserve">. </w:t>
      </w:r>
      <w:r w:rsidRPr="00A636EB">
        <w:rPr>
          <w:lang w:val="en-US"/>
        </w:rPr>
        <w:t>et</w:t>
      </w:r>
      <w:r w:rsidRPr="003A4DC3">
        <w:t xml:space="preserve"> </w:t>
      </w:r>
      <w:r w:rsidRPr="00A636EB">
        <w:rPr>
          <w:lang w:val="en-US"/>
        </w:rPr>
        <w:t>al</w:t>
      </w:r>
      <w:r w:rsidRPr="003A4DC3">
        <w:t>.</w:t>
      </w:r>
      <w:r>
        <w:t>, 2012;</w:t>
      </w:r>
      <w:r w:rsidRPr="003A4DC3">
        <w:t xml:space="preserve"> </w:t>
      </w:r>
      <w:r w:rsidRPr="00A636EB">
        <w:rPr>
          <w:lang w:val="en-US"/>
        </w:rPr>
        <w:t>Meredith</w:t>
      </w:r>
      <w:r w:rsidRPr="003A4DC3">
        <w:t xml:space="preserve"> </w:t>
      </w:r>
      <w:r w:rsidRPr="00A636EB">
        <w:rPr>
          <w:lang w:val="en-US"/>
        </w:rPr>
        <w:t>I</w:t>
      </w:r>
      <w:r w:rsidRPr="003A4DC3">
        <w:t>.</w:t>
      </w:r>
      <w:r w:rsidRPr="00A636EB">
        <w:rPr>
          <w:lang w:val="en-US"/>
        </w:rPr>
        <w:t>T</w:t>
      </w:r>
      <w:r w:rsidRPr="003A4DC3">
        <w:t>.</w:t>
      </w:r>
      <w:r>
        <w:t>, 2012</w:t>
      </w:r>
      <w:r w:rsidRPr="00623DD0">
        <w:t xml:space="preserve">). </w:t>
      </w:r>
      <w:r>
        <w:t>Важнейшим преимуществом трансфеморального доступа является и возможность выполнения ТИАК под местной анестезией (Беляев С.А. и др., 2015).</w:t>
      </w:r>
    </w:p>
    <w:p w:rsidR="00CC2F0B" w:rsidRPr="003A4DC3" w:rsidRDefault="00CC2F0B" w:rsidP="00CC2F0B">
      <w:pPr>
        <w:ind w:firstLine="708"/>
      </w:pPr>
      <w:r w:rsidRPr="00623DD0">
        <w:t>Однако</w:t>
      </w:r>
      <w:proofErr w:type="gramStart"/>
      <w:r>
        <w:t>,</w:t>
      </w:r>
      <w:proofErr w:type="gramEnd"/>
      <w:r>
        <w:t xml:space="preserve"> в клинической практике встречается ряд </w:t>
      </w:r>
      <w:r w:rsidRPr="00623DD0">
        <w:t xml:space="preserve"> </w:t>
      </w:r>
      <w:r>
        <w:t xml:space="preserve">ситуаций, препятствующих выполнению </w:t>
      </w:r>
      <w:r w:rsidRPr="00623DD0">
        <w:t xml:space="preserve"> ТИАК</w:t>
      </w:r>
      <w:r>
        <w:t xml:space="preserve"> через  </w:t>
      </w:r>
      <w:r w:rsidRPr="00623DD0">
        <w:t xml:space="preserve">трансфеморальный доступ </w:t>
      </w:r>
      <w:r>
        <w:t xml:space="preserve"> - </w:t>
      </w:r>
      <w:r w:rsidRPr="00623DD0">
        <w:t xml:space="preserve">выраженная извитость </w:t>
      </w:r>
      <w:r>
        <w:t xml:space="preserve">или </w:t>
      </w:r>
      <w:r w:rsidRPr="00623DD0">
        <w:t>мелкий калибр</w:t>
      </w:r>
      <w:r>
        <w:t xml:space="preserve"> артерии</w:t>
      </w:r>
      <w:r w:rsidRPr="00623DD0">
        <w:t>, распространенный атеросклероз и/или кальци</w:t>
      </w:r>
      <w:r>
        <w:t>ноз сосудов подвздошно-бедренно</w:t>
      </w:r>
      <w:r w:rsidRPr="00623DD0">
        <w:t>го сегмента и др</w:t>
      </w:r>
      <w:r>
        <w:t>.</w:t>
      </w:r>
      <w:r w:rsidRPr="00623DD0">
        <w:t xml:space="preserve"> </w:t>
      </w:r>
      <w:r w:rsidRPr="003A4DC3">
        <w:t>(</w:t>
      </w:r>
      <w:r w:rsidRPr="00A636EB">
        <w:rPr>
          <w:lang w:val="en-US"/>
        </w:rPr>
        <w:t>Toggweiler</w:t>
      </w:r>
      <w:r w:rsidRPr="003A4DC3">
        <w:t xml:space="preserve"> </w:t>
      </w:r>
      <w:r w:rsidRPr="00A636EB">
        <w:rPr>
          <w:lang w:val="en-US"/>
        </w:rPr>
        <w:t>S</w:t>
      </w:r>
      <w:r w:rsidRPr="003A4DC3">
        <w:t xml:space="preserve">. </w:t>
      </w:r>
      <w:r w:rsidRPr="00A636EB">
        <w:rPr>
          <w:lang w:val="en-US"/>
        </w:rPr>
        <w:t>et</w:t>
      </w:r>
      <w:r w:rsidRPr="003A4DC3">
        <w:t xml:space="preserve"> </w:t>
      </w:r>
      <w:r w:rsidRPr="00A636EB">
        <w:rPr>
          <w:lang w:val="en-US"/>
        </w:rPr>
        <w:t>al</w:t>
      </w:r>
      <w:r w:rsidRPr="003A4DC3">
        <w:t xml:space="preserve">., 2013; </w:t>
      </w:r>
      <w:r>
        <w:rPr>
          <w:lang w:val="en-US"/>
        </w:rPr>
        <w:t>Bax</w:t>
      </w:r>
      <w:r w:rsidRPr="003A4DC3">
        <w:t xml:space="preserve"> </w:t>
      </w:r>
      <w:r>
        <w:rPr>
          <w:lang w:val="en-US"/>
        </w:rPr>
        <w:t>J</w:t>
      </w:r>
      <w:r w:rsidRPr="003A4DC3">
        <w:t>.</w:t>
      </w:r>
      <w:r>
        <w:rPr>
          <w:lang w:val="en-US"/>
        </w:rPr>
        <w:t>J</w:t>
      </w:r>
      <w:r w:rsidRPr="003A4DC3">
        <w:t xml:space="preserve">. </w:t>
      </w:r>
      <w:r w:rsidRPr="00A636EB">
        <w:rPr>
          <w:lang w:val="en-US"/>
        </w:rPr>
        <w:t>et</w:t>
      </w:r>
      <w:r w:rsidRPr="003A4DC3">
        <w:t xml:space="preserve"> </w:t>
      </w:r>
      <w:r w:rsidRPr="00A636EB">
        <w:rPr>
          <w:lang w:val="en-US"/>
        </w:rPr>
        <w:t>al</w:t>
      </w:r>
      <w:r w:rsidRPr="003A4DC3">
        <w:t>.</w:t>
      </w:r>
      <w:r>
        <w:t>, 2014</w:t>
      </w:r>
      <w:r w:rsidRPr="003A4DC3">
        <w:t xml:space="preserve">). </w:t>
      </w:r>
      <w:r>
        <w:t>Чтобы и</w:t>
      </w:r>
      <w:r w:rsidRPr="00623DD0">
        <w:t>сключ</w:t>
      </w:r>
      <w:r>
        <w:t>ить</w:t>
      </w:r>
      <w:r w:rsidRPr="00623DD0">
        <w:t xml:space="preserve"> осложнени</w:t>
      </w:r>
      <w:r>
        <w:t>я</w:t>
      </w:r>
      <w:r w:rsidRPr="00623DD0">
        <w:t>, связанны</w:t>
      </w:r>
      <w:r>
        <w:t>е</w:t>
      </w:r>
      <w:r w:rsidRPr="00623DD0">
        <w:t xml:space="preserve"> с сосудистым доступом и доставкой устройства, в </w:t>
      </w:r>
      <w:r>
        <w:t>подобных ситуациях</w:t>
      </w:r>
      <w:r w:rsidRPr="00623DD0">
        <w:t xml:space="preserve"> </w:t>
      </w:r>
      <w:r>
        <w:t>показано применение</w:t>
      </w:r>
      <w:r w:rsidRPr="00623DD0">
        <w:t xml:space="preserve"> альтернативны</w:t>
      </w:r>
      <w:r>
        <w:t>х</w:t>
      </w:r>
      <w:r w:rsidRPr="00623DD0">
        <w:t xml:space="preserve"> </w:t>
      </w:r>
      <w:r>
        <w:t>доступов,</w:t>
      </w:r>
      <w:r w:rsidRPr="003A4DC3">
        <w:rPr>
          <w:rFonts w:ascii="REG" w:hAnsi="REG"/>
          <w:sz w:val="23"/>
          <w:szCs w:val="23"/>
        </w:rPr>
        <w:t xml:space="preserve"> </w:t>
      </w:r>
      <w:r w:rsidRPr="003A4DC3">
        <w:lastRenderedPageBreak/>
        <w:t>которые широко используются во всем мире (</w:t>
      </w:r>
      <w:r w:rsidRPr="00A636EB">
        <w:t>Исаева И.В.</w:t>
      </w:r>
      <w:r>
        <w:t xml:space="preserve"> и др., 2015; </w:t>
      </w:r>
      <w:r w:rsidRPr="00A636EB">
        <w:rPr>
          <w:lang w:val="en-US"/>
        </w:rPr>
        <w:t>Caceres</w:t>
      </w:r>
      <w:r w:rsidRPr="003A4DC3">
        <w:t xml:space="preserve"> </w:t>
      </w:r>
      <w:r w:rsidRPr="00A636EB">
        <w:rPr>
          <w:lang w:val="en-US"/>
        </w:rPr>
        <w:t>M</w:t>
      </w:r>
      <w:r w:rsidRPr="003A4DC3">
        <w:t>.</w:t>
      </w:r>
      <w:r>
        <w:t xml:space="preserve"> </w:t>
      </w:r>
      <w:r w:rsidRPr="00A636EB">
        <w:rPr>
          <w:lang w:val="en-US"/>
        </w:rPr>
        <w:t>et</w:t>
      </w:r>
      <w:r w:rsidRPr="003A4DC3">
        <w:t xml:space="preserve"> </w:t>
      </w:r>
      <w:r w:rsidRPr="00A636EB">
        <w:rPr>
          <w:lang w:val="en-US"/>
        </w:rPr>
        <w:t>al</w:t>
      </w:r>
      <w:r w:rsidRPr="003A4DC3">
        <w:t>.</w:t>
      </w:r>
      <w:r>
        <w:t xml:space="preserve">, 2012; </w:t>
      </w:r>
      <w:r w:rsidRPr="00A636EB">
        <w:rPr>
          <w:lang w:val="en-US"/>
        </w:rPr>
        <w:t>Wendler</w:t>
      </w:r>
      <w:r w:rsidRPr="003A4DC3">
        <w:t xml:space="preserve"> </w:t>
      </w:r>
      <w:r w:rsidRPr="00A636EB">
        <w:rPr>
          <w:lang w:val="en-US"/>
        </w:rPr>
        <w:t>O</w:t>
      </w:r>
      <w:r>
        <w:t xml:space="preserve">. </w:t>
      </w:r>
      <w:r w:rsidRPr="00A636EB">
        <w:rPr>
          <w:lang w:val="en-US"/>
        </w:rPr>
        <w:t>et</w:t>
      </w:r>
      <w:r w:rsidRPr="003A4DC3">
        <w:t xml:space="preserve"> </w:t>
      </w:r>
      <w:r w:rsidRPr="00A636EB">
        <w:rPr>
          <w:lang w:val="en-US"/>
        </w:rPr>
        <w:t>al</w:t>
      </w:r>
      <w:r w:rsidRPr="003A4DC3">
        <w:t>.</w:t>
      </w:r>
      <w:r>
        <w:t>, 2013</w:t>
      </w:r>
      <w:r w:rsidRPr="003A4DC3">
        <w:t xml:space="preserve">).  </w:t>
      </w:r>
    </w:p>
    <w:p w:rsidR="00CC2F0B" w:rsidRDefault="00CC2F0B" w:rsidP="00CC2F0B">
      <w:pPr>
        <w:ind w:firstLine="708"/>
      </w:pPr>
      <w:r>
        <w:t>В частности, в последние годы появляется все больше исследований, посвященных возможности проведения ТИАК через трансапикальный доступ (</w:t>
      </w:r>
      <w:r w:rsidRPr="00A636EB">
        <w:t>Имаев Т.Э.</w:t>
      </w:r>
      <w:r>
        <w:t xml:space="preserve"> и др., 2015а). Поскольку первоначальный опыт, полученный на животных моделях, был вполне позитивным, в </w:t>
      </w:r>
      <w:proofErr w:type="gramStart"/>
      <w:r>
        <w:t>связи</w:t>
      </w:r>
      <w:proofErr w:type="gramEnd"/>
      <w:r>
        <w:t xml:space="preserve"> с чем этот доступ начал использоваться в клинической практике, причем уже ранние результаты оказались многообещающими. В частности, первые опубликованные данные, принадлежащие S. Lichtenstein и соавт., описывали опыт ТИАК у 7 пациентов с высокой степенью операционного риска. Имплантация клапана была успешной у всех пациентов – в 100% случаев наблюдался градиент на АК и улучшение состояния, при этом достигнутые результаты соотносились с показателями, получаемыми при ретроградной имплантации клапана (</w:t>
      </w:r>
      <w:r w:rsidRPr="002978CC">
        <w:rPr>
          <w:lang w:val="en-US"/>
        </w:rPr>
        <w:t>Lichtenstein</w:t>
      </w:r>
      <w:r w:rsidRPr="003C6C47">
        <w:t xml:space="preserve"> </w:t>
      </w:r>
      <w:r w:rsidRPr="002978CC">
        <w:rPr>
          <w:lang w:val="en-US"/>
        </w:rPr>
        <w:t>S</w:t>
      </w:r>
      <w:r w:rsidRPr="003C6C47">
        <w:t>.</w:t>
      </w:r>
      <w:r w:rsidRPr="002978CC">
        <w:rPr>
          <w:lang w:val="en-US"/>
        </w:rPr>
        <w:t>V</w:t>
      </w:r>
      <w:r w:rsidRPr="003C6C47">
        <w:t>.</w:t>
      </w:r>
      <w:r>
        <w:t xml:space="preserve"> </w:t>
      </w:r>
      <w:r w:rsidRPr="002978CC">
        <w:rPr>
          <w:lang w:val="en-US"/>
        </w:rPr>
        <w:t>et</w:t>
      </w:r>
      <w:r w:rsidRPr="003C6C47">
        <w:t xml:space="preserve"> </w:t>
      </w:r>
      <w:r w:rsidRPr="002978CC">
        <w:rPr>
          <w:lang w:val="en-US"/>
        </w:rPr>
        <w:t>al</w:t>
      </w:r>
      <w:r w:rsidRPr="003C6C47">
        <w:t>.</w:t>
      </w:r>
      <w:r>
        <w:t xml:space="preserve">, 2006). Среди достоинств трансапикального доступа специалисты называют его близость к аортальному клапану, в </w:t>
      </w:r>
      <w:proofErr w:type="gramStart"/>
      <w:r>
        <w:t>связи</w:t>
      </w:r>
      <w:proofErr w:type="gramEnd"/>
      <w:r>
        <w:t xml:space="preserve"> с чем этот тип доступа является наиболее точным и высоко контролируемым.</w:t>
      </w:r>
      <w:r w:rsidRPr="00626557">
        <w:t xml:space="preserve"> </w:t>
      </w:r>
      <w:r>
        <w:t>Однако</w:t>
      </w:r>
      <w:proofErr w:type="gramStart"/>
      <w:r>
        <w:t>,</w:t>
      </w:r>
      <w:proofErr w:type="gramEnd"/>
      <w:r>
        <w:t xml:space="preserve"> трансапикальный доступ имеет и серьезный недостаток - возможность травматизации стенки левого желудочка. Так, L. Biere с соавт. (2014) в своем исследовании показал, что после трансапикальной имплантации АК в течение 3 месяцев у пациентов развивается гипокинез верхушечных сегментов сердца. В другом исследовании было показано, что зоны акинеза и гипокинеза сохраняются у 30% прооперированных пациентов даже через год после операции, что приводит к снижению сократительной функции левого желудочка. Также авторами была продемонстрирована  высокая частота таких осложнений как формирование ложных аневризм верхушки левого желудочка (7%), кровотечения (10%) (</w:t>
      </w:r>
      <w:r w:rsidRPr="005A304B">
        <w:rPr>
          <w:lang w:val="en-US"/>
        </w:rPr>
        <w:t>Bleiziffer</w:t>
      </w:r>
      <w:r w:rsidRPr="00626557">
        <w:t xml:space="preserve"> </w:t>
      </w:r>
      <w:r w:rsidRPr="005A304B">
        <w:rPr>
          <w:lang w:val="en-US"/>
        </w:rPr>
        <w:t>S</w:t>
      </w:r>
      <w:r>
        <w:t xml:space="preserve">. </w:t>
      </w:r>
      <w:r w:rsidRPr="005A304B">
        <w:rPr>
          <w:lang w:val="en-US"/>
        </w:rPr>
        <w:t>et</w:t>
      </w:r>
      <w:r w:rsidRPr="00626557">
        <w:t xml:space="preserve"> </w:t>
      </w:r>
      <w:r w:rsidRPr="005A304B">
        <w:rPr>
          <w:lang w:val="en-US"/>
        </w:rPr>
        <w:t>al</w:t>
      </w:r>
      <w:r w:rsidRPr="00626557">
        <w:t>.</w:t>
      </w:r>
      <w:r>
        <w:t>, 2011).</w:t>
      </w:r>
      <w:r w:rsidRPr="00842936">
        <w:t xml:space="preserve"> </w:t>
      </w:r>
      <w:r>
        <w:t>Более высокая частота геморрагических осложнений при трансапикальном доступе в сравнении с другими методиками была отмечена и другими исследователями  (</w:t>
      </w:r>
      <w:r w:rsidRPr="00027DBA">
        <w:rPr>
          <w:lang w:val="en-US"/>
        </w:rPr>
        <w:t>Ando</w:t>
      </w:r>
      <w:r w:rsidRPr="00842936">
        <w:t xml:space="preserve"> </w:t>
      </w:r>
      <w:r w:rsidRPr="00027DBA">
        <w:rPr>
          <w:lang w:val="en-US"/>
        </w:rPr>
        <w:t>T</w:t>
      </w:r>
      <w:r>
        <w:t xml:space="preserve">. </w:t>
      </w:r>
      <w:r w:rsidRPr="005A304B">
        <w:rPr>
          <w:lang w:val="en-US"/>
        </w:rPr>
        <w:t>et</w:t>
      </w:r>
      <w:r w:rsidRPr="00626557">
        <w:t xml:space="preserve"> </w:t>
      </w:r>
      <w:r w:rsidRPr="005A304B">
        <w:rPr>
          <w:lang w:val="en-US"/>
        </w:rPr>
        <w:t>al</w:t>
      </w:r>
      <w:r w:rsidRPr="00626557">
        <w:t>.</w:t>
      </w:r>
      <w:r>
        <w:t xml:space="preserve">, 2017). Данные исследования TRAVERCE  и некоторых других также продемонстрировали несколько </w:t>
      </w:r>
      <w:r>
        <w:lastRenderedPageBreak/>
        <w:t>худшие клинические результаты использования трансапикальной ТИАК по сравнению с иными подходами, что свидетельствует о необходимости строго дифференцированного отбора больных, у которых трансапикальный подход являлся бы методом выбора (</w:t>
      </w:r>
      <w:r w:rsidRPr="00677924">
        <w:rPr>
          <w:lang w:val="en-US"/>
        </w:rPr>
        <w:t>Svensson</w:t>
      </w:r>
      <w:r w:rsidRPr="00460393">
        <w:t xml:space="preserve"> </w:t>
      </w:r>
      <w:r w:rsidRPr="00677924">
        <w:rPr>
          <w:lang w:val="en-US"/>
        </w:rPr>
        <w:t>L</w:t>
      </w:r>
      <w:r w:rsidRPr="00460393">
        <w:t>.</w:t>
      </w:r>
      <w:r w:rsidRPr="00677924">
        <w:rPr>
          <w:lang w:val="en-US"/>
        </w:rPr>
        <w:t>G</w:t>
      </w:r>
      <w:r>
        <w:t xml:space="preserve">. </w:t>
      </w:r>
      <w:r w:rsidRPr="00677924">
        <w:rPr>
          <w:lang w:val="en-US"/>
        </w:rPr>
        <w:t>et</w:t>
      </w:r>
      <w:r w:rsidRPr="00460393">
        <w:t xml:space="preserve"> </w:t>
      </w:r>
      <w:r w:rsidRPr="00677924">
        <w:rPr>
          <w:lang w:val="en-US"/>
        </w:rPr>
        <w:t>al</w:t>
      </w:r>
      <w:r w:rsidRPr="00460393">
        <w:t>.</w:t>
      </w:r>
      <w:r>
        <w:t>, 2008;</w:t>
      </w:r>
      <w:r w:rsidRPr="00460393">
        <w:t xml:space="preserve"> </w:t>
      </w:r>
      <w:r w:rsidRPr="00677924">
        <w:rPr>
          <w:lang w:val="en-US"/>
        </w:rPr>
        <w:t>Walther</w:t>
      </w:r>
      <w:r w:rsidRPr="00460393">
        <w:t xml:space="preserve"> </w:t>
      </w:r>
      <w:r w:rsidRPr="00677924">
        <w:rPr>
          <w:lang w:val="en-US"/>
        </w:rPr>
        <w:t>T</w:t>
      </w:r>
      <w:r>
        <w:t xml:space="preserve">. </w:t>
      </w:r>
      <w:r w:rsidRPr="003A7CBD">
        <w:rPr>
          <w:lang w:val="en-US"/>
        </w:rPr>
        <w:t>et</w:t>
      </w:r>
      <w:r w:rsidRPr="002F62CC">
        <w:t xml:space="preserve"> </w:t>
      </w:r>
      <w:r w:rsidRPr="003A7CBD">
        <w:rPr>
          <w:lang w:val="en-US"/>
        </w:rPr>
        <w:t>al</w:t>
      </w:r>
      <w:r w:rsidRPr="002F62CC">
        <w:t>.</w:t>
      </w:r>
      <w:r>
        <w:t>, 2009).</w:t>
      </w:r>
    </w:p>
    <w:p w:rsidR="00CC2F0B" w:rsidRDefault="00CC2F0B" w:rsidP="00CC2F0B">
      <w:pPr>
        <w:ind w:firstLine="708"/>
      </w:pPr>
      <w:r>
        <w:t>При сравнительном анализе эффективности трансфеморального и трансапикального доступов п</w:t>
      </w:r>
      <w:r w:rsidRPr="002F62CC">
        <w:t>о данным недавно проведенного мета-анализа</w:t>
      </w:r>
      <w:r>
        <w:t>, было показано, что</w:t>
      </w:r>
      <w:r w:rsidRPr="002F62CC">
        <w:t xml:space="preserve"> трансартериальные доступы по сравнению с трансапикальным, ассоциировались с более высокой 30-дневной (93,7% против 88,7%, </w:t>
      </w:r>
      <w:proofErr w:type="gramStart"/>
      <w:r w:rsidRPr="002F62CC">
        <w:t>р</w:t>
      </w:r>
      <w:proofErr w:type="gramEnd"/>
      <w:r w:rsidRPr="002F62CC">
        <w:t>&lt;0,001) и годичной выживаемостью (82,9% против 73,3%)</w:t>
      </w:r>
      <w:r>
        <w:t>.</w:t>
      </w:r>
      <w:r w:rsidRPr="002F62CC">
        <w:t xml:space="preserve"> </w:t>
      </w:r>
      <w:r>
        <w:t>Однако,</w:t>
      </w:r>
      <w:r w:rsidRPr="002F62CC">
        <w:t xml:space="preserve"> трансфеморальный доступ сопровождался более высок</w:t>
      </w:r>
      <w:r>
        <w:t>ой частотой</w:t>
      </w:r>
      <w:r w:rsidRPr="002F62CC">
        <w:t xml:space="preserve"> возникновения сосудистых осложнений (</w:t>
      </w:r>
      <w:r>
        <w:t>20,</w:t>
      </w:r>
      <w:r w:rsidRPr="002F62CC">
        <w:t>1</w:t>
      </w:r>
      <w:r>
        <w:t>%</w:t>
      </w:r>
      <w:r w:rsidRPr="002F62CC">
        <w:t xml:space="preserve"> против 4,2%, </w:t>
      </w:r>
      <w:proofErr w:type="gramStart"/>
      <w:r>
        <w:t>р</w:t>
      </w:r>
      <w:proofErr w:type="gramEnd"/>
      <w:r w:rsidRPr="002F62CC">
        <w:t xml:space="preserve">&lt;0,001) </w:t>
      </w:r>
      <w:r>
        <w:t>(</w:t>
      </w:r>
      <w:r w:rsidRPr="003A7CBD">
        <w:rPr>
          <w:lang w:val="en-US"/>
        </w:rPr>
        <w:t>Khatri</w:t>
      </w:r>
      <w:r w:rsidRPr="002F62CC">
        <w:t xml:space="preserve"> </w:t>
      </w:r>
      <w:r w:rsidRPr="003A7CBD">
        <w:rPr>
          <w:lang w:val="en-US"/>
        </w:rPr>
        <w:t>P</w:t>
      </w:r>
      <w:r w:rsidRPr="002F62CC">
        <w:t>.</w:t>
      </w:r>
      <w:r w:rsidRPr="003A7CBD">
        <w:rPr>
          <w:lang w:val="en-US"/>
        </w:rPr>
        <w:t>J</w:t>
      </w:r>
      <w:r>
        <w:t xml:space="preserve">. </w:t>
      </w:r>
      <w:r w:rsidRPr="003A7CBD">
        <w:rPr>
          <w:lang w:val="en-US"/>
        </w:rPr>
        <w:t>et</w:t>
      </w:r>
      <w:r w:rsidRPr="002F62CC">
        <w:t xml:space="preserve"> </w:t>
      </w:r>
      <w:r w:rsidRPr="003A7CBD">
        <w:rPr>
          <w:lang w:val="en-US"/>
        </w:rPr>
        <w:t>al</w:t>
      </w:r>
      <w:r w:rsidRPr="002F62CC">
        <w:t>.</w:t>
      </w:r>
      <w:r>
        <w:t>, 2013)</w:t>
      </w:r>
      <w:r w:rsidRPr="002F62CC">
        <w:t xml:space="preserve">. </w:t>
      </w:r>
      <w:r>
        <w:t>Данные о более высокой отдаленной выживаемости после трансфеморального доступа по сравнению с трансапикальным были получены и другими авторами (</w:t>
      </w:r>
      <w:r w:rsidRPr="00027DBA">
        <w:rPr>
          <w:lang w:val="en-US"/>
        </w:rPr>
        <w:t>Bleiziffer</w:t>
      </w:r>
      <w:r w:rsidRPr="00842936">
        <w:t xml:space="preserve"> </w:t>
      </w:r>
      <w:r w:rsidRPr="00027DBA">
        <w:rPr>
          <w:lang w:val="en-US"/>
        </w:rPr>
        <w:t>S</w:t>
      </w:r>
      <w:r w:rsidRPr="00842936">
        <w:t>.</w:t>
      </w:r>
      <w:r>
        <w:t xml:space="preserve"> </w:t>
      </w:r>
      <w:r w:rsidRPr="00027DBA">
        <w:rPr>
          <w:lang w:val="en-US"/>
        </w:rPr>
        <w:t>et</w:t>
      </w:r>
      <w:r w:rsidRPr="00842936">
        <w:t xml:space="preserve"> </w:t>
      </w:r>
      <w:r w:rsidRPr="00027DBA">
        <w:rPr>
          <w:lang w:val="en-US"/>
        </w:rPr>
        <w:t>al</w:t>
      </w:r>
      <w:r w:rsidRPr="00842936">
        <w:t>.</w:t>
      </w:r>
      <w:r>
        <w:t xml:space="preserve">, 2011; </w:t>
      </w:r>
      <w:r w:rsidRPr="00027DBA">
        <w:rPr>
          <w:lang w:val="en-US"/>
        </w:rPr>
        <w:t>Conrotto</w:t>
      </w:r>
      <w:r w:rsidRPr="00842936">
        <w:t xml:space="preserve"> </w:t>
      </w:r>
      <w:r w:rsidRPr="00027DBA">
        <w:rPr>
          <w:lang w:val="en-US"/>
        </w:rPr>
        <w:t>F</w:t>
      </w:r>
      <w:r>
        <w:t xml:space="preserve">. </w:t>
      </w:r>
      <w:r w:rsidRPr="00027DBA">
        <w:rPr>
          <w:lang w:val="en-US"/>
        </w:rPr>
        <w:t>et</w:t>
      </w:r>
      <w:r w:rsidRPr="00842936">
        <w:t xml:space="preserve"> </w:t>
      </w:r>
      <w:r w:rsidRPr="00027DBA">
        <w:rPr>
          <w:lang w:val="en-US"/>
        </w:rPr>
        <w:t>al</w:t>
      </w:r>
      <w:r w:rsidRPr="00842936">
        <w:t>.</w:t>
      </w:r>
      <w:r>
        <w:t>, 2014). Однако, по мнению</w:t>
      </w:r>
      <w:r w:rsidRPr="007D0F36">
        <w:t xml:space="preserve"> </w:t>
      </w:r>
      <w:r w:rsidRPr="00670031">
        <w:t>А.В.</w:t>
      </w:r>
      <w:r>
        <w:t xml:space="preserve"> </w:t>
      </w:r>
      <w:r w:rsidRPr="00670031">
        <w:t>Богачев</w:t>
      </w:r>
      <w:r>
        <w:t>а</w:t>
      </w:r>
      <w:r w:rsidRPr="00670031">
        <w:t>-Прокофьев</w:t>
      </w:r>
      <w:r>
        <w:t>а с соавт. (2018)</w:t>
      </w:r>
      <w:r w:rsidRPr="00670031">
        <w:t xml:space="preserve"> </w:t>
      </w:r>
      <w:r>
        <w:t xml:space="preserve">в настоящее время невозможно однозначно интерпретировать эти данные, поскольку более низкая выживаемость пациентов после ТИАК с трансапикальным доступом может быть связана не  только с  повреждением миокарда в  области верхушки, но и с  более тяжелым исходным состоянием пациентов, идущих на  трансапикальное ТИАК. </w:t>
      </w:r>
    </w:p>
    <w:p w:rsidR="00CC2F0B" w:rsidRDefault="00CC2F0B" w:rsidP="00CC2F0B">
      <w:pPr>
        <w:ind w:firstLine="708"/>
      </w:pPr>
      <w:r>
        <w:t>В то же время, авторы другого метаанализа пришли к выводу об отсутствии значимых различий между трансфеморальным и трансапикальным доступами по показателю 1-годичной смертности (</w:t>
      </w:r>
      <w:proofErr w:type="gramStart"/>
      <w:r>
        <w:t>р</w:t>
      </w:r>
      <w:proofErr w:type="gramEnd"/>
      <w:r>
        <w:t>=0,16), частоте инсультов (р=0,52), инфарктов миокарда (р=0,35) или кровотечений (р=0,19) у пациентов, перенесших ТИАК. В то же время, они указывают на тот факт, что 30-ти дневная смертность в группе пациентов, у которых использовали трансфеморальный доступ, была ниже, а количество больших сосудистых осложнений –  меньше при использовании трансапикального доступа (</w:t>
      </w:r>
      <w:r w:rsidRPr="006463A6">
        <w:rPr>
          <w:lang w:val="en-US"/>
        </w:rPr>
        <w:t>Panchal</w:t>
      </w:r>
      <w:r w:rsidRPr="0041476A">
        <w:t xml:space="preserve"> </w:t>
      </w:r>
      <w:r w:rsidRPr="006463A6">
        <w:rPr>
          <w:lang w:val="en-US"/>
        </w:rPr>
        <w:t>H</w:t>
      </w:r>
      <w:r w:rsidRPr="0041476A">
        <w:t>.</w:t>
      </w:r>
      <w:r w:rsidRPr="006463A6">
        <w:rPr>
          <w:lang w:val="en-US"/>
        </w:rPr>
        <w:t>B</w:t>
      </w:r>
      <w:r>
        <w:t xml:space="preserve">. </w:t>
      </w:r>
      <w:r w:rsidRPr="006463A6">
        <w:rPr>
          <w:lang w:val="en-US"/>
        </w:rPr>
        <w:t>et</w:t>
      </w:r>
      <w:r w:rsidRPr="0041476A">
        <w:t xml:space="preserve"> </w:t>
      </w:r>
      <w:r w:rsidRPr="006463A6">
        <w:rPr>
          <w:lang w:val="en-US"/>
        </w:rPr>
        <w:t>al</w:t>
      </w:r>
      <w:r w:rsidRPr="0041476A">
        <w:t>.</w:t>
      </w:r>
      <w:r>
        <w:t>, 2014).</w:t>
      </w:r>
    </w:p>
    <w:p w:rsidR="00CC2F0B" w:rsidRDefault="00CC2F0B" w:rsidP="00CC2F0B">
      <w:pPr>
        <w:ind w:firstLine="708"/>
      </w:pPr>
      <w:r>
        <w:lastRenderedPageBreak/>
        <w:t>В работе Т.Э. Имаева с соавт. (2016)</w:t>
      </w:r>
      <w:r w:rsidRPr="006463A6">
        <w:t xml:space="preserve"> </w:t>
      </w:r>
      <w:r>
        <w:t xml:space="preserve">применялись оба доступа. Анализ особенностей послеоперационного периода в группах </w:t>
      </w:r>
      <w:proofErr w:type="gramStart"/>
      <w:r>
        <w:t>пациентов, перенесших ТИАК с использованием разных доступов выявил</w:t>
      </w:r>
      <w:proofErr w:type="gramEnd"/>
      <w:r>
        <w:t>, что развитие госпитальных осложнений и выживаемость не зависят от типа доступа. По мнению авторов, эти данные свидетельствуют о том, что проведение ТИАК трансапикальным доступом может стать достойной альтернативой трансфеморальному доступу при наличии противопоказаний к последнему.</w:t>
      </w:r>
      <w:r w:rsidRPr="00842936">
        <w:t xml:space="preserve"> </w:t>
      </w:r>
      <w:r>
        <w:t>Сходные результаты были получены и авторами другого исследования – они установили отсутствие зависимости между видом хирургического доступа (трансапикального, трансфеморального) при протезирован</w:t>
      </w:r>
      <w:proofErr w:type="gramStart"/>
      <w:r>
        <w:t>ии ао</w:t>
      </w:r>
      <w:proofErr w:type="gramEnd"/>
      <w:r>
        <w:t>ртального клапана и частотой осложнений. Летальность в группе трансапикального протезирования оказалась выше, чем в группе трансфеморального протезирования (12% против 8,1%), однако различия оказались статистически незначимыми (</w:t>
      </w:r>
      <w:r w:rsidRPr="00317E20">
        <w:t>Марголина</w:t>
      </w:r>
      <w:r w:rsidRPr="00C3629B">
        <w:t xml:space="preserve"> </w:t>
      </w:r>
      <w:r w:rsidRPr="00317E20">
        <w:t>А</w:t>
      </w:r>
      <w:r w:rsidRPr="00C3629B">
        <w:t>.</w:t>
      </w:r>
      <w:r w:rsidRPr="00317E20">
        <w:t>А</w:t>
      </w:r>
      <w:r w:rsidRPr="00C3629B">
        <w:t>. и др.,</w:t>
      </w:r>
      <w:r>
        <w:t xml:space="preserve"> 2016). В исследовании GARY (2013)  при большем числе наблюдений были получены похожие результаты (Hamm C.W. </w:t>
      </w:r>
      <w:r w:rsidRPr="00670031">
        <w:rPr>
          <w:lang w:val="en-US"/>
        </w:rPr>
        <w:t>et</w:t>
      </w:r>
      <w:r w:rsidRPr="007D0F36">
        <w:t xml:space="preserve"> </w:t>
      </w:r>
      <w:r w:rsidRPr="00670031">
        <w:rPr>
          <w:lang w:val="en-US"/>
        </w:rPr>
        <w:t>al</w:t>
      </w:r>
      <w:r w:rsidRPr="007D0F36">
        <w:t>.</w:t>
      </w:r>
      <w:r>
        <w:t>, 2014).</w:t>
      </w:r>
      <w:r w:rsidRPr="00460393">
        <w:t xml:space="preserve"> </w:t>
      </w:r>
      <w:r w:rsidRPr="00670031">
        <w:t>А.В.</w:t>
      </w:r>
      <w:r>
        <w:t xml:space="preserve"> </w:t>
      </w:r>
      <w:r w:rsidRPr="00670031">
        <w:t>Богачев-Прокофьев</w:t>
      </w:r>
      <w:r>
        <w:t xml:space="preserve"> с соавт. (2018)</w:t>
      </w:r>
      <w:r w:rsidRPr="00670031">
        <w:t xml:space="preserve"> </w:t>
      </w:r>
      <w:r>
        <w:t xml:space="preserve"> не  наблюдали осложнений, связанных непосредственно с  трансапикальным доступом, хотя и отметили, что у  части пациентов пожилого возраста с  выраженной дистрофией миокарда возникла необходимость в наложении дополнительных гемостатических швов в  области пункции верхушки. </w:t>
      </w:r>
    </w:p>
    <w:p w:rsidR="00CC2F0B" w:rsidRDefault="00CC2F0B" w:rsidP="00CC2F0B">
      <w:pPr>
        <w:ind w:firstLine="708"/>
      </w:pPr>
      <w:r>
        <w:t>Очевидно, подобная противоречивость результатов объясняется отсутствием рандомизированных исследований, а также несопоставимостью сравниваемых групп (</w:t>
      </w:r>
      <w:r w:rsidRPr="00670031">
        <w:rPr>
          <w:lang w:val="en-US"/>
        </w:rPr>
        <w:t>Conrotto</w:t>
      </w:r>
      <w:r w:rsidRPr="007D0F36">
        <w:t xml:space="preserve"> </w:t>
      </w:r>
      <w:r w:rsidRPr="00670031">
        <w:rPr>
          <w:lang w:val="en-US"/>
        </w:rPr>
        <w:t>F</w:t>
      </w:r>
      <w:r>
        <w:t>.</w:t>
      </w:r>
      <w:r w:rsidRPr="007D0F36">
        <w:t xml:space="preserve"> </w:t>
      </w:r>
      <w:r w:rsidRPr="00670031">
        <w:rPr>
          <w:lang w:val="en-US"/>
        </w:rPr>
        <w:t>et</w:t>
      </w:r>
      <w:r w:rsidRPr="007D0F36">
        <w:t xml:space="preserve"> </w:t>
      </w:r>
      <w:r w:rsidRPr="00670031">
        <w:rPr>
          <w:lang w:val="en-US"/>
        </w:rPr>
        <w:t>al</w:t>
      </w:r>
      <w:r w:rsidRPr="007D0F36">
        <w:t>.</w:t>
      </w:r>
      <w:r>
        <w:t xml:space="preserve">, 2014; </w:t>
      </w:r>
      <w:r w:rsidRPr="00670031">
        <w:rPr>
          <w:lang w:val="en-US"/>
        </w:rPr>
        <w:t>Liu</w:t>
      </w:r>
      <w:r w:rsidRPr="007D0F36">
        <w:t xml:space="preserve"> </w:t>
      </w:r>
      <w:r w:rsidRPr="00670031">
        <w:rPr>
          <w:lang w:val="en-US"/>
        </w:rPr>
        <w:t>Z</w:t>
      </w:r>
      <w:r>
        <w:t>.</w:t>
      </w:r>
      <w:r w:rsidRPr="007D0F36">
        <w:t xml:space="preserve"> </w:t>
      </w:r>
      <w:r w:rsidRPr="00670031">
        <w:rPr>
          <w:lang w:val="en-US"/>
        </w:rPr>
        <w:t>et</w:t>
      </w:r>
      <w:r w:rsidRPr="007D0F36">
        <w:t xml:space="preserve"> </w:t>
      </w:r>
      <w:r w:rsidRPr="00670031">
        <w:rPr>
          <w:lang w:val="en-US"/>
        </w:rPr>
        <w:t>al</w:t>
      </w:r>
      <w:r w:rsidRPr="007D0F36">
        <w:t>.</w:t>
      </w:r>
      <w:r>
        <w:t xml:space="preserve">, 2016). По  данным мета-анализа, </w:t>
      </w:r>
      <w:proofErr w:type="gramStart"/>
      <w:r>
        <w:t>проведенного</w:t>
      </w:r>
      <w:proofErr w:type="gramEnd"/>
      <w:r>
        <w:t xml:space="preserve"> T. Ando с соавт. (2017), в который были включены только исследования, использовавшие методику propensity score matching, не было получено статистически значимых различий между обеими </w:t>
      </w:r>
      <w:proofErr w:type="gramStart"/>
      <w:r>
        <w:t>методиками</w:t>
      </w:r>
      <w:proofErr w:type="gramEnd"/>
      <w:r>
        <w:t xml:space="preserve"> как по  ранней, так и  среднеотдаленной выживаемости. Кроме того, было отмечено, что в более поздних исследованиях результаты применения трансапикального и  трансфеморального доступов сопоставимы, что связано с  совершенствованием протезов и  накоплением опыта.</w:t>
      </w:r>
    </w:p>
    <w:p w:rsidR="00CC2F0B" w:rsidRDefault="00CC2F0B" w:rsidP="00CC2F0B">
      <w:pPr>
        <w:ind w:firstLine="708"/>
      </w:pPr>
      <w:r>
        <w:lastRenderedPageBreak/>
        <w:t xml:space="preserve">У пациентов с противопоказаниями </w:t>
      </w:r>
      <w:proofErr w:type="gramStart"/>
      <w:r>
        <w:t>в</w:t>
      </w:r>
      <w:proofErr w:type="gramEnd"/>
      <w:r>
        <w:t xml:space="preserve"> </w:t>
      </w:r>
      <w:proofErr w:type="gramStart"/>
      <w:r>
        <w:t>обоим</w:t>
      </w:r>
      <w:proofErr w:type="gramEnd"/>
      <w:r>
        <w:t xml:space="preserve"> видам доступа в качестве альтернативы рассматривается возможность реализации ТИАК через подключичную артерию. </w:t>
      </w:r>
      <w:r w:rsidRPr="003A4DC3">
        <w:t xml:space="preserve">По данным ряда исследователей, </w:t>
      </w:r>
      <w:r>
        <w:t xml:space="preserve">этот </w:t>
      </w:r>
      <w:r w:rsidRPr="003A4DC3">
        <w:t xml:space="preserve">способ </w:t>
      </w:r>
      <w:r>
        <w:t>вполне сопоставим с</w:t>
      </w:r>
      <w:r w:rsidRPr="003A4DC3">
        <w:t xml:space="preserve"> трансфеморальн</w:t>
      </w:r>
      <w:r>
        <w:t>ым доступом</w:t>
      </w:r>
      <w:r w:rsidRPr="003A4DC3">
        <w:t xml:space="preserve"> по частоте непосредственного успеха процедуры, осложнений со стороны доступа и достижения конечных точек</w:t>
      </w:r>
      <w:r>
        <w:t>. Более того, по ряду параметров</w:t>
      </w:r>
      <w:r w:rsidRPr="003A4DC3">
        <w:t xml:space="preserve"> (частот</w:t>
      </w:r>
      <w:r>
        <w:t>а контраст-индуцированной нефро</w:t>
      </w:r>
      <w:r w:rsidRPr="003A4DC3">
        <w:t xml:space="preserve">патии, кровотечение в месте доступа) </w:t>
      </w:r>
      <w:r>
        <w:t>подключичиный доступ имеет</w:t>
      </w:r>
      <w:r w:rsidRPr="003A4DC3">
        <w:t xml:space="preserve"> преимущества </w:t>
      </w:r>
      <w:r>
        <w:t xml:space="preserve">перед трансфеморальным </w:t>
      </w:r>
      <w:r w:rsidRPr="003A4DC3">
        <w:t>(</w:t>
      </w:r>
      <w:r w:rsidRPr="00C71896">
        <w:rPr>
          <w:lang w:val="en-US"/>
        </w:rPr>
        <w:t>Petronio</w:t>
      </w:r>
      <w:r w:rsidRPr="00550695">
        <w:t xml:space="preserve"> </w:t>
      </w:r>
      <w:r w:rsidRPr="00C71896">
        <w:rPr>
          <w:lang w:val="en-US"/>
        </w:rPr>
        <w:t>A</w:t>
      </w:r>
      <w:r w:rsidRPr="00550695">
        <w:t>.</w:t>
      </w:r>
      <w:r w:rsidRPr="00C71896">
        <w:rPr>
          <w:lang w:val="en-US"/>
        </w:rPr>
        <w:t>S</w:t>
      </w:r>
      <w:r>
        <w:t xml:space="preserve">. </w:t>
      </w:r>
      <w:r w:rsidRPr="00C71896">
        <w:rPr>
          <w:lang w:val="en-US"/>
        </w:rPr>
        <w:t>et</w:t>
      </w:r>
      <w:r w:rsidRPr="00550695">
        <w:t xml:space="preserve"> </w:t>
      </w:r>
      <w:r w:rsidRPr="00C71896">
        <w:rPr>
          <w:lang w:val="en-US"/>
        </w:rPr>
        <w:t>al</w:t>
      </w:r>
      <w:r w:rsidRPr="00550695">
        <w:t>.</w:t>
      </w:r>
      <w:r>
        <w:t>, 2012</w:t>
      </w:r>
      <w:r w:rsidRPr="003A4DC3">
        <w:t>).</w:t>
      </w:r>
      <w:r w:rsidRPr="00550695">
        <w:rPr>
          <w:rFonts w:eastAsia="Times New Roman"/>
        </w:rPr>
        <w:t xml:space="preserve"> </w:t>
      </w:r>
      <w:r>
        <w:rPr>
          <w:rFonts w:eastAsia="Times New Roman"/>
        </w:rPr>
        <w:t>Кроме того, в</w:t>
      </w:r>
      <w:r w:rsidRPr="003A4DC3">
        <w:rPr>
          <w:rFonts w:eastAsia="Times New Roman"/>
        </w:rPr>
        <w:t xml:space="preserve"> отлич</w:t>
      </w:r>
      <w:r>
        <w:rPr>
          <w:rFonts w:eastAsia="Times New Roman"/>
        </w:rPr>
        <w:t>ие от сосудов подвздошно-бедрен</w:t>
      </w:r>
      <w:r w:rsidRPr="003A4DC3">
        <w:rPr>
          <w:rFonts w:eastAsia="Times New Roman"/>
        </w:rPr>
        <w:t>ного сегмента</w:t>
      </w:r>
      <w:r>
        <w:rPr>
          <w:rFonts w:eastAsia="Times New Roman"/>
        </w:rPr>
        <w:t>,</w:t>
      </w:r>
      <w:r w:rsidRPr="003A4DC3">
        <w:rPr>
          <w:rFonts w:eastAsia="Times New Roman"/>
        </w:rPr>
        <w:t xml:space="preserve"> для подключичных артерий нехарактерно наличие патологической извитости и тотального кальциноза.</w:t>
      </w:r>
    </w:p>
    <w:p w:rsidR="00CC2F0B" w:rsidRDefault="00CC2F0B" w:rsidP="00CC2F0B">
      <w:pPr>
        <w:ind w:firstLine="708"/>
        <w:rPr>
          <w:rFonts w:eastAsia="Times New Roman"/>
        </w:rPr>
      </w:pPr>
      <w:r w:rsidRPr="003A4DC3">
        <w:rPr>
          <w:rFonts w:eastAsia="Times New Roman"/>
        </w:rPr>
        <w:t xml:space="preserve">Анатомическими условиями возможности выполнения ТИАК через </w:t>
      </w:r>
      <w:r>
        <w:rPr>
          <w:rFonts w:eastAsia="Times New Roman"/>
        </w:rPr>
        <w:t xml:space="preserve">подключичную артерию </w:t>
      </w:r>
      <w:r w:rsidRPr="003A4DC3">
        <w:rPr>
          <w:rFonts w:eastAsia="Times New Roman"/>
        </w:rPr>
        <w:t xml:space="preserve">являются диаметр артерии &gt; 6 мм, отсутствие выраженной извитости и кальциноза артерий. </w:t>
      </w:r>
    </w:p>
    <w:p w:rsidR="00CC2F0B" w:rsidRDefault="00CC2F0B" w:rsidP="00CC2F0B">
      <w:pPr>
        <w:ind w:firstLine="708"/>
      </w:pPr>
      <w:r>
        <w:t>К недостаткам</w:t>
      </w:r>
      <w:r w:rsidRPr="00550695">
        <w:t xml:space="preserve"> подключичного доступа </w:t>
      </w:r>
      <w:r>
        <w:t xml:space="preserve">специалисты относят </w:t>
      </w:r>
      <w:r w:rsidRPr="00550695">
        <w:t xml:space="preserve">я "сложность" </w:t>
      </w:r>
      <w:r>
        <w:t xml:space="preserve">данной </w:t>
      </w:r>
      <w:r w:rsidRPr="00550695">
        <w:t xml:space="preserve">анатомической зоны по сравнению с паховой областью и </w:t>
      </w:r>
      <w:r>
        <w:t>необходимость эндотрахе</w:t>
      </w:r>
      <w:r w:rsidRPr="00550695">
        <w:t>ально</w:t>
      </w:r>
      <w:r>
        <w:t>го</w:t>
      </w:r>
      <w:r w:rsidRPr="00550695">
        <w:t xml:space="preserve"> наркоз</w:t>
      </w:r>
      <w:r>
        <w:t>а при проведении ТИАК</w:t>
      </w:r>
      <w:r w:rsidRPr="00550695">
        <w:t>, что при наличии сопутствующей патологии легких может негативно сказаться на результатах лечения и сроках госпитализации</w:t>
      </w:r>
      <w:r>
        <w:t xml:space="preserve"> (Акчурин Р.С. и др., 2016а)</w:t>
      </w:r>
      <w:r w:rsidRPr="00550695">
        <w:t xml:space="preserve">. </w:t>
      </w:r>
    </w:p>
    <w:p w:rsidR="00CC2F0B" w:rsidRDefault="00CC2F0B" w:rsidP="00CC2F0B">
      <w:pPr>
        <w:ind w:firstLine="708"/>
      </w:pPr>
      <w:r>
        <w:t xml:space="preserve">В исследовании Т.Э. Имаева с соавт. (2018) на материале 7 случаев ТИАК через подключичный доступ было установлено, что </w:t>
      </w:r>
      <w:r>
        <w:rPr>
          <w:rFonts w:ascii="Helvetica" w:hAnsi="Helvetica" w:cs="Helvetica"/>
          <w:color w:val="333333"/>
          <w:sz w:val="21"/>
          <w:szCs w:val="21"/>
          <w:shd w:val="clear" w:color="auto" w:fill="FFFFFF"/>
        </w:rPr>
        <w:t xml:space="preserve">в </w:t>
      </w:r>
      <w:r w:rsidRPr="00550695">
        <w:t xml:space="preserve">послеоперационном периоде отсутствовали эпизоды полной атриовентрикулярной блокады, тяжелой парапротезной регургитации, контраст-индуцированной нефропатии и каких-либо сосудистых осложнений. </w:t>
      </w:r>
      <w:r>
        <w:t>Это позволило авторам прийти к выводу о том, что п</w:t>
      </w:r>
      <w:r w:rsidRPr="00550695">
        <w:t xml:space="preserve">одключичный доступ </w:t>
      </w:r>
      <w:r>
        <w:t>можно считать вполне эффективной</w:t>
      </w:r>
      <w:r w:rsidRPr="00550695">
        <w:t xml:space="preserve"> альтерна</w:t>
      </w:r>
      <w:r>
        <w:t>тивой трансфеморальному доступу.</w:t>
      </w:r>
    </w:p>
    <w:p w:rsidR="00CC2F0B" w:rsidRDefault="00CC2F0B" w:rsidP="00CC2F0B">
      <w:pPr>
        <w:ind w:firstLine="708"/>
      </w:pPr>
      <w:r>
        <w:t xml:space="preserve">Трансаортальный подход, предложенный  G. Latsios с соавт. в 2010 г., представляет собой альтернативный вариант техники </w:t>
      </w:r>
      <w:proofErr w:type="gramStart"/>
      <w:r>
        <w:t>T</w:t>
      </w:r>
      <w:proofErr w:type="gramEnd"/>
      <w:r>
        <w:t xml:space="preserve">ИАК, сочетающий в себе преимущества антеградного трансапикального доступа и относительно </w:t>
      </w:r>
      <w:r>
        <w:lastRenderedPageBreak/>
        <w:t>более высокий профиль безопасности, присущий транссосудистому подходу. Этот доступ позволяет избежать грозных осложнений, свойственных для трансапикального, трансфеморального и чресподключичного доступов, таких как острые и хронические осложнения со стороны левого желудочка (кровотечение из верхушки желудочка вследствие прорезывания кисетных швов; гипоакинезия, гематома, развитие ложной аневризмы верхушки желудочка; повреждение коронарной артерии или шунта, ятрогенная травма митрального клапана или восходящей аорты), а также периферические сосудистые осложнения (</w:t>
      </w:r>
      <w:r w:rsidRPr="00677924">
        <w:rPr>
          <w:lang w:val="en-US"/>
        </w:rPr>
        <w:t>Al</w:t>
      </w:r>
      <w:r w:rsidRPr="00633E48">
        <w:t>-</w:t>
      </w:r>
      <w:r w:rsidRPr="00677924">
        <w:rPr>
          <w:lang w:val="en-US"/>
        </w:rPr>
        <w:t>Attar</w:t>
      </w:r>
      <w:r w:rsidRPr="00633E48">
        <w:t xml:space="preserve"> </w:t>
      </w:r>
      <w:r w:rsidRPr="00677924">
        <w:rPr>
          <w:lang w:val="en-US"/>
        </w:rPr>
        <w:t>N</w:t>
      </w:r>
      <w:r>
        <w:t xml:space="preserve">. </w:t>
      </w:r>
      <w:r w:rsidRPr="00677924">
        <w:rPr>
          <w:lang w:val="en-US"/>
        </w:rPr>
        <w:t>et</w:t>
      </w:r>
      <w:r w:rsidRPr="00633E48">
        <w:t xml:space="preserve"> </w:t>
      </w:r>
      <w:r w:rsidRPr="00677924">
        <w:rPr>
          <w:lang w:val="en-US"/>
        </w:rPr>
        <w:t>al</w:t>
      </w:r>
      <w:r w:rsidRPr="00633E48">
        <w:t>.</w:t>
      </w:r>
      <w:r>
        <w:t>, 2009). Кроме того, использование данного доступа не оказывает существенного влияния на респираторную функцию и минимизирует риск развития интраоперационного инсульта за счет отсутствия манипуляций в области дуги аорты (</w:t>
      </w:r>
      <w:r w:rsidRPr="00677924">
        <w:rPr>
          <w:lang w:val="en-US"/>
        </w:rPr>
        <w:t>Brown</w:t>
      </w:r>
      <w:r w:rsidRPr="00633E48">
        <w:t xml:space="preserve"> </w:t>
      </w:r>
      <w:r w:rsidRPr="00677924">
        <w:rPr>
          <w:lang w:val="en-US"/>
        </w:rPr>
        <w:t>M</w:t>
      </w:r>
      <w:r w:rsidRPr="00633E48">
        <w:t>.</w:t>
      </w:r>
      <w:r w:rsidRPr="00677924">
        <w:rPr>
          <w:lang w:val="en-US"/>
        </w:rPr>
        <w:t>L</w:t>
      </w:r>
      <w:r w:rsidRPr="00633E48">
        <w:t>.</w:t>
      </w:r>
      <w:r>
        <w:t xml:space="preserve"> </w:t>
      </w:r>
      <w:r w:rsidRPr="00677924">
        <w:rPr>
          <w:lang w:val="en-US"/>
        </w:rPr>
        <w:t>et</w:t>
      </w:r>
      <w:r w:rsidRPr="00633E48">
        <w:t xml:space="preserve"> </w:t>
      </w:r>
      <w:r w:rsidRPr="00677924">
        <w:rPr>
          <w:lang w:val="en-US"/>
        </w:rPr>
        <w:t>al</w:t>
      </w:r>
      <w:r w:rsidRPr="00633E48">
        <w:t>.</w:t>
      </w:r>
      <w:r>
        <w:t>, 2009).</w:t>
      </w:r>
      <w:r>
        <w:rPr>
          <w:sz w:val="24"/>
        </w:rPr>
        <w:t xml:space="preserve"> </w:t>
      </w:r>
      <w:r>
        <w:t>Основным фактором, наличие которого определяет преимущества трансаортального подхода над трансапикальным, является низкая фракция выброса левого желудочка, особенно вследствие нарушений сократимости передневерхушечных сегментов. Преимущества трансаортальной имплантации становятся очевидными также в случае выраженной асимметричной гипертрофии перегородки, кальциноза верхушки, вентрикулопластики в анамнезе и при наличии кальцинированного перикарда.</w:t>
      </w:r>
      <w:r>
        <w:rPr>
          <w:sz w:val="24"/>
        </w:rPr>
        <w:t xml:space="preserve"> </w:t>
      </w:r>
      <w:r>
        <w:t>Однако</w:t>
      </w:r>
      <w:proofErr w:type="gramStart"/>
      <w:r>
        <w:t>,</w:t>
      </w:r>
      <w:proofErr w:type="gramEnd"/>
      <w:r>
        <w:t xml:space="preserve"> оним из главных преимуществ этого доступа является расстояние от точки доступа до кольца АК, оно не превышает 10 см, в связи с чем доставка протеза становится проще и лучше контролируется. Это играет особую роль в случаях, когда имеется повышенный риск дислокации протеза: при использовании протезов большого размера, при горизонтальном расположен</w:t>
      </w:r>
      <w:proofErr w:type="gramStart"/>
      <w:r>
        <w:t>ии ао</w:t>
      </w:r>
      <w:proofErr w:type="gramEnd"/>
      <w:r>
        <w:t>рты (</w:t>
      </w:r>
      <w:r w:rsidRPr="00027DBA">
        <w:t>Силаева Н.В., Слюсаренко А.А.</w:t>
      </w:r>
      <w:r>
        <w:t>, 2018).</w:t>
      </w:r>
      <w:r w:rsidRPr="00460393">
        <w:t xml:space="preserve"> </w:t>
      </w:r>
      <w:r>
        <w:t xml:space="preserve">По сравнению с трансапикальным подходом трансаортальный подход имеет следующие преимущества: </w:t>
      </w:r>
      <w:proofErr w:type="gramStart"/>
      <w:r>
        <w:t>верхняя</w:t>
      </w:r>
      <w:proofErr w:type="gramEnd"/>
      <w:r>
        <w:t xml:space="preserve"> министернотомия более благополучно переносится пациентами с минимальным затруднением дыхательной функции, без затрагивания диафрагмы. В сравнении с трансапикальным доступом данный метод позволяет избежать вскрытия левой плевральной полости и </w:t>
      </w:r>
      <w:r>
        <w:lastRenderedPageBreak/>
        <w:t>необходимости установки плеврального дренажа. В сравнении с трансфеморальным подходом трансаортальный доступ исключает манипуляции в дуге аорты, тем самым сводится к минимуму риск атеротромботических эмболий и неврологических нарушений (Акчурин</w:t>
      </w:r>
      <w:r w:rsidRPr="00633E48">
        <w:t xml:space="preserve"> </w:t>
      </w:r>
      <w:r>
        <w:t>Р</w:t>
      </w:r>
      <w:r w:rsidRPr="00633E48">
        <w:t>.</w:t>
      </w:r>
      <w:r>
        <w:t>С</w:t>
      </w:r>
      <w:r w:rsidRPr="00633E48">
        <w:t>.</w:t>
      </w:r>
      <w:r>
        <w:t xml:space="preserve"> и др., 2016б).</w:t>
      </w:r>
      <w:r w:rsidRPr="00633E48">
        <w:t xml:space="preserve"> </w:t>
      </w:r>
      <w:proofErr w:type="gramStart"/>
      <w:r>
        <w:t>Применение трансаортального доступа сопровождается меньшими летальностью и частотой развития осложнений (инсульт, миграция протеза, конверсия, осложнения в области доступа и т.д.) по сравнению с результатами исследования PARTNER при сопоставимых клинических характеристиках пациентов (Bapat</w:t>
      </w:r>
      <w:r w:rsidRPr="00633E48">
        <w:t xml:space="preserve"> </w:t>
      </w:r>
      <w:r>
        <w:t xml:space="preserve">V. </w:t>
      </w:r>
      <w:r w:rsidRPr="00677924">
        <w:rPr>
          <w:lang w:val="en-US"/>
        </w:rPr>
        <w:t>et</w:t>
      </w:r>
      <w:r w:rsidRPr="00633E48">
        <w:t xml:space="preserve"> </w:t>
      </w:r>
      <w:r w:rsidRPr="00677924">
        <w:rPr>
          <w:lang w:val="en-US"/>
        </w:rPr>
        <w:t>al</w:t>
      </w:r>
      <w:r w:rsidRPr="00633E48">
        <w:t>.</w:t>
      </w:r>
      <w:r>
        <w:t>, 2011).</w:t>
      </w:r>
      <w:proofErr w:type="gramEnd"/>
      <w:r>
        <w:t xml:space="preserve"> Преимущества данного доступа проявляются также в технической простоте установки эмболической ловушки и высокой степени контролируемости системы доставки во время позиционирования и имплантации биопротеза АК.</w:t>
      </w:r>
      <w:r w:rsidRPr="00633E48">
        <w:t xml:space="preserve"> </w:t>
      </w:r>
      <w:r>
        <w:t>При соблюдении ряда предосторожностей трансаортальная имплантация биопротеза АК возможна даже при наличии «фарфоровой» аорты (</w:t>
      </w:r>
      <w:r w:rsidRPr="00677924">
        <w:rPr>
          <w:lang w:val="en-US"/>
        </w:rPr>
        <w:t>Latsios</w:t>
      </w:r>
      <w:r w:rsidRPr="00633E48">
        <w:t xml:space="preserve"> </w:t>
      </w:r>
      <w:r w:rsidRPr="00677924">
        <w:rPr>
          <w:lang w:val="en-US"/>
        </w:rPr>
        <w:t>G</w:t>
      </w:r>
      <w:r w:rsidRPr="00633E48">
        <w:t>.</w:t>
      </w:r>
      <w:r>
        <w:t xml:space="preserve"> </w:t>
      </w:r>
      <w:r w:rsidRPr="00677924">
        <w:rPr>
          <w:lang w:val="en-US"/>
        </w:rPr>
        <w:t>et</w:t>
      </w:r>
      <w:r w:rsidRPr="00633E48">
        <w:t xml:space="preserve"> </w:t>
      </w:r>
      <w:r w:rsidRPr="00677924">
        <w:rPr>
          <w:lang w:val="en-US"/>
        </w:rPr>
        <w:t>al</w:t>
      </w:r>
      <w:r w:rsidRPr="00633E48">
        <w:t>.</w:t>
      </w:r>
      <w:r>
        <w:t xml:space="preserve">, 2010). Однако, для оценки долгосрочных результатов использования трансаортального доступа необходимы многоцентровые рандомизированные исследования различных подходов при </w:t>
      </w:r>
      <w:proofErr w:type="gramStart"/>
      <w:r>
        <w:t>T</w:t>
      </w:r>
      <w:proofErr w:type="gramEnd"/>
      <w:r>
        <w:t>ИАК (</w:t>
      </w:r>
      <w:r w:rsidRPr="00677924">
        <w:rPr>
          <w:lang w:val="en-US"/>
        </w:rPr>
        <w:t>Etienne</w:t>
      </w:r>
      <w:r w:rsidRPr="00633E48">
        <w:t xml:space="preserve"> </w:t>
      </w:r>
      <w:r w:rsidRPr="00677924">
        <w:rPr>
          <w:lang w:val="en-US"/>
        </w:rPr>
        <w:t>P</w:t>
      </w:r>
      <w:r w:rsidRPr="00633E48">
        <w:t>.</w:t>
      </w:r>
      <w:proofErr w:type="gramStart"/>
      <w:r w:rsidRPr="00633E48">
        <w:t>-</w:t>
      </w:r>
      <w:r w:rsidRPr="00677924">
        <w:rPr>
          <w:lang w:val="en-US"/>
        </w:rPr>
        <w:t>Y</w:t>
      </w:r>
      <w:r>
        <w:t xml:space="preserve">. </w:t>
      </w:r>
      <w:r w:rsidRPr="00677924">
        <w:rPr>
          <w:lang w:val="en-US"/>
        </w:rPr>
        <w:t>et</w:t>
      </w:r>
      <w:r w:rsidRPr="00633E48">
        <w:t xml:space="preserve"> </w:t>
      </w:r>
      <w:r w:rsidRPr="00677924">
        <w:rPr>
          <w:lang w:val="en-US"/>
        </w:rPr>
        <w:t>al</w:t>
      </w:r>
      <w:r w:rsidRPr="00633E48">
        <w:t>.</w:t>
      </w:r>
      <w:r>
        <w:t>, 2011).</w:t>
      </w:r>
      <w:proofErr w:type="gramEnd"/>
    </w:p>
    <w:p w:rsidR="00CC2F0B" w:rsidRDefault="00CC2F0B" w:rsidP="00CC2F0B">
      <w:pPr>
        <w:ind w:firstLine="708"/>
      </w:pPr>
      <w:r w:rsidRPr="003A4DC3">
        <w:rPr>
          <w:rFonts w:ascii="REG" w:eastAsia="Times New Roman" w:hAnsi="REG"/>
          <w:sz w:val="23"/>
          <w:szCs w:val="23"/>
        </w:rPr>
        <w:br/>
      </w:r>
    </w:p>
    <w:p w:rsidR="00CC2F0B" w:rsidRDefault="00CC2F0B" w:rsidP="00CC2F0B">
      <w:pPr>
        <w:ind w:firstLine="708"/>
      </w:pPr>
    </w:p>
    <w:p w:rsidR="00CC2F0B" w:rsidRDefault="00CC2F0B" w:rsidP="00CC2F0B">
      <w:pPr>
        <w:ind w:firstLine="708"/>
        <w:rPr>
          <w:rFonts w:ascii="REG" w:hAnsi="REG"/>
          <w:sz w:val="23"/>
          <w:szCs w:val="23"/>
        </w:rPr>
      </w:pPr>
      <w:r w:rsidRPr="00274047">
        <w:rPr>
          <w:rFonts w:ascii="REG" w:eastAsia="Times New Roman" w:hAnsi="REG"/>
          <w:sz w:val="23"/>
          <w:szCs w:val="23"/>
        </w:rPr>
        <w:br/>
      </w:r>
    </w:p>
    <w:p w:rsidR="00CC2F0B" w:rsidRDefault="00CC2F0B" w:rsidP="00CC2F0B">
      <w:pPr>
        <w:ind w:firstLine="708"/>
      </w:pPr>
      <w:r>
        <w:rPr>
          <w:rFonts w:ascii="REG" w:hAnsi="REG"/>
          <w:sz w:val="23"/>
          <w:szCs w:val="23"/>
        </w:rPr>
        <w:br/>
      </w:r>
      <w:r w:rsidRPr="005A2D31">
        <w:br/>
      </w:r>
      <w:r w:rsidRPr="005A2D31">
        <w:br/>
      </w:r>
    </w:p>
    <w:p w:rsidR="00CC2F0B" w:rsidRDefault="00CC2F0B" w:rsidP="00CC2F0B">
      <w:pPr>
        <w:ind w:firstLine="708"/>
      </w:pPr>
    </w:p>
    <w:p w:rsidR="00CC2F0B" w:rsidRDefault="00CC2F0B" w:rsidP="00CC2F0B">
      <w:pPr>
        <w:ind w:firstLine="708"/>
      </w:pPr>
      <w:r>
        <w:t xml:space="preserve"> </w:t>
      </w:r>
    </w:p>
    <w:p w:rsidR="00780362" w:rsidRDefault="00780362">
      <w:pPr>
        <w:spacing w:after="160" w:line="259" w:lineRule="auto"/>
        <w:jc w:val="left"/>
        <w:rPr>
          <w:shd w:val="clear" w:color="auto" w:fill="FFFFFF"/>
        </w:rPr>
      </w:pPr>
      <w:r>
        <w:rPr>
          <w:shd w:val="clear" w:color="auto" w:fill="FFFFFF"/>
        </w:rPr>
        <w:br w:type="page"/>
      </w:r>
    </w:p>
    <w:p w:rsidR="00057EB9" w:rsidRPr="00DB2CFB" w:rsidRDefault="00057EB9" w:rsidP="00057EB9">
      <w:pPr>
        <w:jc w:val="center"/>
        <w:rPr>
          <w:b/>
        </w:rPr>
      </w:pPr>
      <w:r w:rsidRPr="00DB2CFB">
        <w:rPr>
          <w:b/>
        </w:rPr>
        <w:lastRenderedPageBreak/>
        <w:t>Глава 2. Организация, материалы и методы исследования</w:t>
      </w:r>
    </w:p>
    <w:p w:rsidR="00057EB9" w:rsidRPr="00DB2CFB" w:rsidRDefault="00057EB9" w:rsidP="00057EB9">
      <w:pPr>
        <w:jc w:val="center"/>
        <w:rPr>
          <w:b/>
        </w:rPr>
      </w:pPr>
      <w:r w:rsidRPr="00DB2CFB">
        <w:rPr>
          <w:b/>
        </w:rPr>
        <w:t>2.1. Организация исследования</w:t>
      </w:r>
    </w:p>
    <w:p w:rsidR="00057EB9" w:rsidRDefault="00057EB9" w:rsidP="00057EB9">
      <w:pPr>
        <w:widowControl w:val="0"/>
        <w:suppressAutoHyphens/>
        <w:ind w:firstLine="720"/>
      </w:pPr>
      <w:r>
        <w:t xml:space="preserve">С целью </w:t>
      </w:r>
      <w:proofErr w:type="gramStart"/>
      <w:r>
        <w:rPr>
          <w:shd w:val="clear" w:color="auto" w:fill="FFFFFF"/>
        </w:rPr>
        <w:t xml:space="preserve">изучения возможности </w:t>
      </w:r>
      <w:r w:rsidRPr="00931922">
        <w:rPr>
          <w:shd w:val="clear" w:color="auto" w:fill="FFFFFF"/>
        </w:rPr>
        <w:t>лечения недостаточности аортального клапана</w:t>
      </w:r>
      <w:proofErr w:type="gramEnd"/>
      <w:r w:rsidRPr="00931922">
        <w:rPr>
          <w:shd w:val="clear" w:color="auto" w:fill="FFFFFF"/>
        </w:rPr>
        <w:t xml:space="preserve"> </w:t>
      </w:r>
      <w:r>
        <w:rPr>
          <w:shd w:val="clear" w:color="auto" w:fill="FFFFFF"/>
        </w:rPr>
        <w:t xml:space="preserve">путем </w:t>
      </w:r>
      <w:r w:rsidRPr="00931922">
        <w:rPr>
          <w:shd w:val="clear" w:color="auto" w:fill="FFFFFF"/>
        </w:rPr>
        <w:t xml:space="preserve">эндоваскулярной имплантации </w:t>
      </w:r>
      <w:r>
        <w:rPr>
          <w:shd w:val="clear" w:color="auto" w:fill="FFFFFF"/>
        </w:rPr>
        <w:t>к</w:t>
      </w:r>
      <w:r w:rsidRPr="00931922">
        <w:rPr>
          <w:shd w:val="clear" w:color="auto" w:fill="FFFFFF"/>
        </w:rPr>
        <w:t>омбинированн</w:t>
      </w:r>
      <w:r>
        <w:rPr>
          <w:shd w:val="clear" w:color="auto" w:fill="FFFFFF"/>
        </w:rPr>
        <w:t>ого</w:t>
      </w:r>
      <w:r w:rsidRPr="00931922">
        <w:rPr>
          <w:shd w:val="clear" w:color="auto" w:fill="FFFFFF"/>
        </w:rPr>
        <w:t xml:space="preserve"> протез</w:t>
      </w:r>
      <w:r>
        <w:rPr>
          <w:shd w:val="clear" w:color="auto" w:fill="FFFFFF"/>
        </w:rPr>
        <w:t>а</w:t>
      </w:r>
      <w:r w:rsidRPr="00931922">
        <w:rPr>
          <w:shd w:val="clear" w:color="auto" w:fill="FFFFFF"/>
        </w:rPr>
        <w:t xml:space="preserve"> клапана из нитинола и перикарда животных </w:t>
      </w:r>
      <w:r>
        <w:rPr>
          <w:shd w:val="clear" w:color="auto" w:fill="FFFFFF"/>
        </w:rPr>
        <w:t xml:space="preserve">было проведено </w:t>
      </w:r>
      <w:r w:rsidRPr="00931922">
        <w:rPr>
          <w:shd w:val="clear" w:color="auto" w:fill="FFFFFF"/>
        </w:rPr>
        <w:t>экспериментальное исследование</w:t>
      </w:r>
      <w:r>
        <w:rPr>
          <w:shd w:val="clear" w:color="auto" w:fill="FFFFFF"/>
        </w:rPr>
        <w:t xml:space="preserve"> на базе </w:t>
      </w:r>
      <w:r w:rsidRPr="00A94DB8">
        <w:t>Центра новых технологий ФГБУ «НМИЦ им. ак. Е.Н. Мешалкина» Минздрава России.</w:t>
      </w:r>
      <w:r>
        <w:t xml:space="preserve"> </w:t>
      </w:r>
    </w:p>
    <w:p w:rsidR="00057EB9" w:rsidRPr="00A73B28" w:rsidRDefault="00057EB9" w:rsidP="00057EB9">
      <w:pPr>
        <w:widowControl w:val="0"/>
        <w:suppressAutoHyphens/>
        <w:ind w:firstLine="720"/>
        <w:rPr>
          <w:szCs w:val="28"/>
        </w:rPr>
      </w:pPr>
      <w:r>
        <w:t>Исследование проводилось</w:t>
      </w:r>
      <w:r w:rsidRPr="009D08E1">
        <w:t xml:space="preserve"> в рабочих помещениях лаборатории </w:t>
      </w:r>
      <w:r w:rsidRPr="00A73B28">
        <w:rPr>
          <w:szCs w:val="28"/>
        </w:rPr>
        <w:t xml:space="preserve">экспериментальной хирургии и морфологии при условиях, соответствующих  ГОСТ 12.1.005-88, период года: теплый и холодный, категория работ: легкая </w:t>
      </w:r>
      <w:proofErr w:type="gramStart"/>
      <w:r w:rsidRPr="00A73B28">
        <w:rPr>
          <w:szCs w:val="28"/>
        </w:rPr>
        <w:t>I</w:t>
      </w:r>
      <w:proofErr w:type="gramEnd"/>
      <w:r w:rsidRPr="00A73B28">
        <w:rPr>
          <w:szCs w:val="28"/>
        </w:rPr>
        <w:t>б (табл. 1).</w:t>
      </w:r>
    </w:p>
    <w:p w:rsidR="00057EB9" w:rsidRDefault="00057EB9" w:rsidP="00057EB9">
      <w:pPr>
        <w:jc w:val="right"/>
      </w:pPr>
      <w:r>
        <w:t>Таблица 1</w:t>
      </w:r>
    </w:p>
    <w:p w:rsidR="00057EB9" w:rsidRDefault="00057EB9" w:rsidP="00057EB9">
      <w:pPr>
        <w:jc w:val="center"/>
      </w:pPr>
      <w:r>
        <w:t>Микроклиматические условия проведения исследования</w:t>
      </w:r>
    </w:p>
    <w:tbl>
      <w:tblPr>
        <w:tblStyle w:val="aa"/>
        <w:tblW w:w="0" w:type="auto"/>
        <w:tblLook w:val="04A0"/>
      </w:tblPr>
      <w:tblGrid>
        <w:gridCol w:w="6374"/>
        <w:gridCol w:w="2971"/>
      </w:tblGrid>
      <w:tr w:rsidR="00057EB9" w:rsidTr="00057EB9">
        <w:tc>
          <w:tcPr>
            <w:tcW w:w="6374" w:type="dxa"/>
          </w:tcPr>
          <w:p w:rsidR="00057EB9" w:rsidRDefault="00057EB9" w:rsidP="00057EB9">
            <w:pPr>
              <w:jc w:val="center"/>
            </w:pPr>
            <w:r>
              <w:t>Условие</w:t>
            </w:r>
          </w:p>
        </w:tc>
        <w:tc>
          <w:tcPr>
            <w:tcW w:w="2971" w:type="dxa"/>
          </w:tcPr>
          <w:p w:rsidR="00057EB9" w:rsidRDefault="00057EB9" w:rsidP="00057EB9">
            <w:pPr>
              <w:jc w:val="center"/>
            </w:pPr>
            <w:r>
              <w:t>Показатель</w:t>
            </w:r>
          </w:p>
        </w:tc>
      </w:tr>
      <w:tr w:rsidR="00057EB9" w:rsidTr="00057EB9">
        <w:tc>
          <w:tcPr>
            <w:tcW w:w="6374" w:type="dxa"/>
          </w:tcPr>
          <w:p w:rsidR="00057EB9" w:rsidRDefault="00057EB9" w:rsidP="00057EB9">
            <w:pPr>
              <w:jc w:val="center"/>
            </w:pPr>
            <w:r w:rsidRPr="009D08E1">
              <w:t xml:space="preserve">температура окружающего воздуха, </w:t>
            </w:r>
            <w:r>
              <w:t>º</w:t>
            </w:r>
            <w:r w:rsidRPr="009223D1">
              <w:t>C</w:t>
            </w:r>
            <w:r w:rsidRPr="00CF392C">
              <w:tab/>
            </w:r>
          </w:p>
        </w:tc>
        <w:tc>
          <w:tcPr>
            <w:tcW w:w="2971" w:type="dxa"/>
          </w:tcPr>
          <w:p w:rsidR="00057EB9" w:rsidRDefault="00057EB9" w:rsidP="00057EB9">
            <w:pPr>
              <w:jc w:val="center"/>
            </w:pPr>
            <w:r w:rsidRPr="009D08E1">
              <w:t>20 ± 10</w:t>
            </w:r>
          </w:p>
        </w:tc>
      </w:tr>
      <w:tr w:rsidR="00057EB9" w:rsidTr="00057EB9">
        <w:tc>
          <w:tcPr>
            <w:tcW w:w="6374" w:type="dxa"/>
          </w:tcPr>
          <w:p w:rsidR="00057EB9" w:rsidRPr="009D08E1" w:rsidRDefault="00057EB9" w:rsidP="00057EB9">
            <w:pPr>
              <w:jc w:val="center"/>
            </w:pPr>
            <w:r w:rsidRPr="009D08E1">
              <w:t>относительная влажность воздуха, %</w:t>
            </w:r>
          </w:p>
        </w:tc>
        <w:tc>
          <w:tcPr>
            <w:tcW w:w="2971" w:type="dxa"/>
          </w:tcPr>
          <w:p w:rsidR="00057EB9" w:rsidRPr="009D08E1" w:rsidRDefault="00057EB9" w:rsidP="00057EB9">
            <w:pPr>
              <w:jc w:val="center"/>
            </w:pPr>
            <w:r>
              <w:t>о</w:t>
            </w:r>
            <w:r w:rsidRPr="009D08E1">
              <w:t>т 45 до 80</w:t>
            </w:r>
          </w:p>
        </w:tc>
      </w:tr>
      <w:tr w:rsidR="00057EB9" w:rsidTr="00057EB9">
        <w:tc>
          <w:tcPr>
            <w:tcW w:w="6374" w:type="dxa"/>
          </w:tcPr>
          <w:p w:rsidR="00057EB9" w:rsidRPr="009D08E1" w:rsidRDefault="00057EB9" w:rsidP="00057EB9">
            <w:pPr>
              <w:jc w:val="center"/>
            </w:pPr>
            <w:r w:rsidRPr="009D08E1">
              <w:t xml:space="preserve">атмосферное давление, </w:t>
            </w:r>
            <w:proofErr w:type="gramStart"/>
            <w:r w:rsidRPr="009D08E1">
              <w:t>мм</w:t>
            </w:r>
            <w:proofErr w:type="gramEnd"/>
            <w:r w:rsidRPr="009D08E1">
              <w:t xml:space="preserve"> рт. ст.</w:t>
            </w:r>
            <w:r>
              <w:tab/>
            </w:r>
          </w:p>
        </w:tc>
        <w:tc>
          <w:tcPr>
            <w:tcW w:w="2971" w:type="dxa"/>
          </w:tcPr>
          <w:p w:rsidR="00057EB9" w:rsidRDefault="00057EB9" w:rsidP="00057EB9">
            <w:pPr>
              <w:jc w:val="center"/>
            </w:pPr>
            <w:r>
              <w:t>о</w:t>
            </w:r>
            <w:r w:rsidRPr="009D08E1">
              <w:t>т 630 до 800</w:t>
            </w:r>
          </w:p>
        </w:tc>
      </w:tr>
    </w:tbl>
    <w:p w:rsidR="00057EB9" w:rsidRDefault="00057EB9" w:rsidP="00057EB9">
      <w:pPr>
        <w:jc w:val="center"/>
      </w:pPr>
    </w:p>
    <w:p w:rsidR="00057EB9" w:rsidRPr="00A73B28" w:rsidRDefault="00057EB9" w:rsidP="00057EB9">
      <w:pPr>
        <w:widowControl w:val="0"/>
        <w:suppressAutoHyphens/>
        <w:ind w:firstLine="720"/>
        <w:rPr>
          <w:szCs w:val="28"/>
        </w:rPr>
      </w:pPr>
      <w:r w:rsidRPr="00A73B28">
        <w:rPr>
          <w:szCs w:val="28"/>
        </w:rPr>
        <w:t>При проведении исследования по общим требованиям безопасности было обеспечено выполнение требований ГОСТ 12.3.002-2014.</w:t>
      </w:r>
    </w:p>
    <w:p w:rsidR="00057EB9" w:rsidRPr="00A73B28" w:rsidRDefault="00057EB9" w:rsidP="00057EB9">
      <w:pPr>
        <w:widowControl w:val="0"/>
        <w:suppressAutoHyphens/>
        <w:ind w:left="709"/>
        <w:rPr>
          <w:szCs w:val="28"/>
        </w:rPr>
      </w:pPr>
      <w:r w:rsidRPr="00A73B28">
        <w:rPr>
          <w:szCs w:val="28"/>
        </w:rPr>
        <w:t xml:space="preserve">1) по категории взрывопожарной и пожарной опасности помещений и зданий – по НПБ-105-03 – Д; </w:t>
      </w:r>
    </w:p>
    <w:p w:rsidR="00057EB9" w:rsidRPr="00A73B28" w:rsidRDefault="00057EB9" w:rsidP="00057EB9">
      <w:pPr>
        <w:widowControl w:val="0"/>
        <w:suppressAutoHyphens/>
        <w:ind w:left="709"/>
        <w:rPr>
          <w:szCs w:val="28"/>
        </w:rPr>
      </w:pPr>
      <w:r w:rsidRPr="00A73B28">
        <w:rPr>
          <w:szCs w:val="28"/>
        </w:rPr>
        <w:t xml:space="preserve">2) по уровню пожарной опасности – по ГОСТ </w:t>
      </w:r>
      <w:proofErr w:type="gramStart"/>
      <w:r w:rsidRPr="00A73B28">
        <w:rPr>
          <w:szCs w:val="28"/>
        </w:rPr>
        <w:t>Р</w:t>
      </w:r>
      <w:proofErr w:type="gramEnd"/>
      <w:r w:rsidRPr="00A73B28">
        <w:rPr>
          <w:szCs w:val="28"/>
        </w:rPr>
        <w:t xml:space="preserve"> 12.3.047-2012 – технологические процессы, отличные от процессов повышенной пожарной опасности;</w:t>
      </w:r>
    </w:p>
    <w:p w:rsidR="00057EB9" w:rsidRPr="00A73B28" w:rsidRDefault="00057EB9" w:rsidP="00057EB9">
      <w:pPr>
        <w:widowControl w:val="0"/>
        <w:suppressAutoHyphens/>
        <w:ind w:left="709"/>
        <w:rPr>
          <w:szCs w:val="28"/>
        </w:rPr>
      </w:pPr>
      <w:r w:rsidRPr="00A73B28">
        <w:rPr>
          <w:szCs w:val="28"/>
        </w:rPr>
        <w:t>3) по классу опасности вредных веществ – по ГОСТ 12.1.007-76 – 4.</w:t>
      </w:r>
    </w:p>
    <w:p w:rsidR="00057EB9" w:rsidRPr="00A73B28" w:rsidRDefault="00057EB9" w:rsidP="00057EB9">
      <w:pPr>
        <w:widowControl w:val="0"/>
        <w:suppressAutoHyphens/>
        <w:ind w:firstLine="720"/>
        <w:rPr>
          <w:szCs w:val="28"/>
        </w:rPr>
      </w:pPr>
      <w:r w:rsidRPr="00A73B28">
        <w:rPr>
          <w:szCs w:val="28"/>
        </w:rPr>
        <w:t xml:space="preserve">Кроме того, при проведении исследования было обеспечено выполнение требований по охране окружающей среды в соответствии с ГОСТ </w:t>
      </w:r>
      <w:proofErr w:type="gramStart"/>
      <w:r w:rsidRPr="00A73B28">
        <w:rPr>
          <w:szCs w:val="28"/>
        </w:rPr>
        <w:t>Р</w:t>
      </w:r>
      <w:proofErr w:type="gramEnd"/>
      <w:r w:rsidRPr="00A73B28">
        <w:rPr>
          <w:szCs w:val="28"/>
        </w:rPr>
        <w:t xml:space="preserve"> ИСО 14031-2016, ГОСТ 17.1.3.06-82, СП 2.2.2.1327-03.</w:t>
      </w:r>
    </w:p>
    <w:p w:rsidR="00057EB9" w:rsidRPr="00A73B28" w:rsidRDefault="00057EB9" w:rsidP="00057EB9">
      <w:pPr>
        <w:widowControl w:val="0"/>
        <w:suppressAutoHyphens/>
        <w:ind w:firstLine="720"/>
        <w:rPr>
          <w:szCs w:val="28"/>
        </w:rPr>
      </w:pPr>
      <w:r w:rsidRPr="00A73B28">
        <w:rPr>
          <w:szCs w:val="28"/>
        </w:rPr>
        <w:lastRenderedPageBreak/>
        <w:t>Весь персонал, принимавший участие в исследовании, имел необходимые знания и опыт работы, владел методиками проведения экспериментальных исследований.</w:t>
      </w:r>
    </w:p>
    <w:p w:rsidR="00057EB9" w:rsidRPr="00A73B28" w:rsidRDefault="00057EB9" w:rsidP="00057EB9">
      <w:pPr>
        <w:widowControl w:val="0"/>
        <w:suppressAutoHyphens/>
        <w:ind w:firstLine="720"/>
        <w:rPr>
          <w:szCs w:val="28"/>
        </w:rPr>
      </w:pPr>
      <w:r w:rsidRPr="00A73B28">
        <w:rPr>
          <w:szCs w:val="28"/>
        </w:rPr>
        <w:t>Контроль полноты, достоверности и объективности хода и результатов испытаний, полноты информации, соблюдения сроков проведения испытаний и документальное оформление их результатов осуществлял ответственный исполнитель.</w:t>
      </w:r>
    </w:p>
    <w:p w:rsidR="00057EB9" w:rsidRPr="00A73B28" w:rsidRDefault="00057EB9" w:rsidP="00057EB9">
      <w:pPr>
        <w:widowControl w:val="0"/>
        <w:suppressAutoHyphens/>
        <w:ind w:firstLine="720"/>
        <w:rPr>
          <w:szCs w:val="28"/>
        </w:rPr>
      </w:pPr>
      <w:proofErr w:type="gramStart"/>
      <w:r>
        <w:rPr>
          <w:szCs w:val="28"/>
        </w:rPr>
        <w:t>Исследование выполнялось в соответствии с</w:t>
      </w:r>
      <w:r w:rsidRPr="00A73B28">
        <w:rPr>
          <w:szCs w:val="28"/>
        </w:rPr>
        <w:t xml:space="preserve"> этическим</w:t>
      </w:r>
      <w:r>
        <w:rPr>
          <w:szCs w:val="28"/>
        </w:rPr>
        <w:t>и нормами</w:t>
      </w:r>
      <w:r w:rsidRPr="00A73B28">
        <w:rPr>
          <w:szCs w:val="28"/>
        </w:rPr>
        <w:t>, регламентирующим</w:t>
      </w:r>
      <w:r>
        <w:rPr>
          <w:szCs w:val="28"/>
        </w:rPr>
        <w:t>м</w:t>
      </w:r>
      <w:r w:rsidRPr="00A73B28">
        <w:rPr>
          <w:szCs w:val="28"/>
        </w:rPr>
        <w:t xml:space="preserve"> эксперименты на животных </w:t>
      </w:r>
      <w:r>
        <w:rPr>
          <w:szCs w:val="28"/>
        </w:rPr>
        <w:t>согласно международным и российским нормативно-правовым документам</w:t>
      </w:r>
      <w:r w:rsidRPr="00A73B28">
        <w:rPr>
          <w:szCs w:val="28"/>
        </w:rPr>
        <w:t xml:space="preserve"> («Европейская конвенция о защите позвоночных животных, используемых для экспериментов или в иных научных целях:</w:t>
      </w:r>
      <w:proofErr w:type="gramEnd"/>
      <w:r w:rsidRPr="00A73B28">
        <w:rPr>
          <w:szCs w:val="28"/>
        </w:rPr>
        <w:t xml:space="preserve"> EST № 123» от 18 марта </w:t>
      </w:r>
      <w:smartTag w:uri="urn:schemas-microsoft-com:office:smarttags" w:element="metricconverter">
        <w:smartTagPr>
          <w:attr w:name="ProductID" w:val="1986 г"/>
        </w:smartTagPr>
        <w:r w:rsidRPr="00A73B28">
          <w:rPr>
            <w:szCs w:val="28"/>
          </w:rPr>
          <w:t>1986 г</w:t>
        </w:r>
      </w:smartTag>
      <w:r w:rsidRPr="00A73B28">
        <w:rPr>
          <w:szCs w:val="28"/>
        </w:rPr>
        <w:t xml:space="preserve">. Страсбург, 1986; Приказ Минздрава РФ №199н от 01.04.2016 г. «Об утверждении правил надлежащей лабораторной практики», ГОСТ </w:t>
      </w:r>
      <w:proofErr w:type="gramStart"/>
      <w:r w:rsidRPr="00A73B28">
        <w:rPr>
          <w:szCs w:val="28"/>
        </w:rPr>
        <w:t>Р</w:t>
      </w:r>
      <w:proofErr w:type="gramEnd"/>
      <w:r w:rsidRPr="00A73B28">
        <w:rPr>
          <w:szCs w:val="28"/>
        </w:rPr>
        <w:t xml:space="preserve"> ИСО 10993-2-2009).</w:t>
      </w:r>
    </w:p>
    <w:p w:rsidR="00057EB9" w:rsidRDefault="00057EB9" w:rsidP="00057EB9">
      <w:pPr>
        <w:widowControl w:val="0"/>
        <w:suppressAutoHyphens/>
        <w:ind w:firstLine="720"/>
        <w:rPr>
          <w:szCs w:val="28"/>
        </w:rPr>
      </w:pPr>
      <w:r>
        <w:rPr>
          <w:szCs w:val="28"/>
        </w:rPr>
        <w:t>Условия с</w:t>
      </w:r>
      <w:r w:rsidRPr="00A73B28">
        <w:rPr>
          <w:szCs w:val="28"/>
        </w:rPr>
        <w:t>одержани</w:t>
      </w:r>
      <w:r>
        <w:rPr>
          <w:szCs w:val="28"/>
        </w:rPr>
        <w:t xml:space="preserve">я </w:t>
      </w:r>
      <w:r w:rsidRPr="00A73B28">
        <w:rPr>
          <w:szCs w:val="28"/>
        </w:rPr>
        <w:t xml:space="preserve"> животных</w:t>
      </w:r>
      <w:r>
        <w:rPr>
          <w:szCs w:val="28"/>
        </w:rPr>
        <w:t xml:space="preserve">, задействованных в экспериментальной части исследования, </w:t>
      </w:r>
      <w:r w:rsidRPr="00A73B28">
        <w:rPr>
          <w:szCs w:val="28"/>
        </w:rPr>
        <w:t xml:space="preserve"> в виварии ФГБУ «НМИЦ им. ак. Е.Н. Мешалкина» Минздрава России соответствовал</w:t>
      </w:r>
      <w:r>
        <w:rPr>
          <w:szCs w:val="28"/>
        </w:rPr>
        <w:t>и</w:t>
      </w:r>
      <w:r w:rsidRPr="00A73B28">
        <w:rPr>
          <w:szCs w:val="28"/>
        </w:rPr>
        <w:t xml:space="preserve"> </w:t>
      </w:r>
      <w:bookmarkStart w:id="0" w:name="_Hlk6392060"/>
      <w:r w:rsidRPr="00A73B28">
        <w:rPr>
          <w:szCs w:val="28"/>
        </w:rPr>
        <w:t>Приказу Минздрава РФ №199н от 01.04.2016 г. «Об утверждении правил надлежащей лабораторной практики»</w:t>
      </w:r>
      <w:bookmarkEnd w:id="0"/>
      <w:r w:rsidRPr="00A73B28">
        <w:rPr>
          <w:szCs w:val="28"/>
        </w:rPr>
        <w:t>.</w:t>
      </w:r>
      <w:r>
        <w:rPr>
          <w:szCs w:val="28"/>
        </w:rPr>
        <w:t xml:space="preserve"> </w:t>
      </w:r>
      <w:r w:rsidRPr="00A73B28">
        <w:rPr>
          <w:szCs w:val="28"/>
        </w:rPr>
        <w:t>В</w:t>
      </w:r>
      <w:r>
        <w:rPr>
          <w:szCs w:val="28"/>
        </w:rPr>
        <w:t xml:space="preserve"> </w:t>
      </w:r>
      <w:r w:rsidRPr="00FB3941">
        <w:rPr>
          <w:szCs w:val="28"/>
        </w:rPr>
        <w:t xml:space="preserve"> </w:t>
      </w:r>
      <w:r w:rsidRPr="00A73B28">
        <w:rPr>
          <w:szCs w:val="28"/>
        </w:rPr>
        <w:t>соответствии</w:t>
      </w:r>
      <w:r w:rsidRPr="00FB3941">
        <w:rPr>
          <w:szCs w:val="28"/>
        </w:rPr>
        <w:t xml:space="preserve"> </w:t>
      </w:r>
      <w:r w:rsidRPr="00A73B28">
        <w:rPr>
          <w:szCs w:val="28"/>
        </w:rPr>
        <w:t>с</w:t>
      </w:r>
      <w:r w:rsidRPr="00FB3941">
        <w:rPr>
          <w:szCs w:val="28"/>
        </w:rPr>
        <w:t xml:space="preserve"> «</w:t>
      </w:r>
      <w:r w:rsidRPr="00A73B28">
        <w:rPr>
          <w:szCs w:val="28"/>
          <w:lang w:val="en-US"/>
        </w:rPr>
        <w:t>Euroguide</w:t>
      </w:r>
      <w:r w:rsidRPr="00FB3941">
        <w:rPr>
          <w:szCs w:val="28"/>
        </w:rPr>
        <w:t xml:space="preserve"> </w:t>
      </w:r>
      <w:r w:rsidRPr="00A73B28">
        <w:rPr>
          <w:szCs w:val="28"/>
          <w:lang w:val="en-US"/>
        </w:rPr>
        <w:t>on</w:t>
      </w:r>
      <w:r w:rsidRPr="00FB3941">
        <w:rPr>
          <w:szCs w:val="28"/>
        </w:rPr>
        <w:t xml:space="preserve"> </w:t>
      </w:r>
      <w:r w:rsidRPr="00A73B28">
        <w:rPr>
          <w:szCs w:val="28"/>
          <w:lang w:val="en-US"/>
        </w:rPr>
        <w:t>the</w:t>
      </w:r>
      <w:r w:rsidRPr="00FB3941">
        <w:rPr>
          <w:szCs w:val="28"/>
        </w:rPr>
        <w:t xml:space="preserve"> </w:t>
      </w:r>
      <w:r w:rsidRPr="00A73B28">
        <w:rPr>
          <w:szCs w:val="28"/>
          <w:lang w:val="en-US"/>
        </w:rPr>
        <w:t>accommodation</w:t>
      </w:r>
      <w:r w:rsidRPr="00FB3941">
        <w:rPr>
          <w:szCs w:val="28"/>
        </w:rPr>
        <w:t xml:space="preserve"> </w:t>
      </w:r>
      <w:r w:rsidRPr="00A73B28">
        <w:rPr>
          <w:szCs w:val="28"/>
          <w:lang w:val="en-US"/>
        </w:rPr>
        <w:t>and</w:t>
      </w:r>
      <w:r w:rsidRPr="00FB3941">
        <w:rPr>
          <w:szCs w:val="28"/>
        </w:rPr>
        <w:t xml:space="preserve"> </w:t>
      </w:r>
      <w:r w:rsidRPr="00A73B28">
        <w:rPr>
          <w:szCs w:val="28"/>
          <w:lang w:val="en-US"/>
        </w:rPr>
        <w:t>care</w:t>
      </w:r>
      <w:r w:rsidRPr="00FB3941">
        <w:rPr>
          <w:szCs w:val="28"/>
        </w:rPr>
        <w:t xml:space="preserve"> </w:t>
      </w:r>
      <w:r w:rsidRPr="00A73B28">
        <w:rPr>
          <w:szCs w:val="28"/>
          <w:lang w:val="en-US"/>
        </w:rPr>
        <w:t>of</w:t>
      </w:r>
      <w:r w:rsidRPr="00FB3941">
        <w:rPr>
          <w:szCs w:val="28"/>
        </w:rPr>
        <w:t xml:space="preserve"> </w:t>
      </w:r>
      <w:r w:rsidRPr="00A73B28">
        <w:rPr>
          <w:szCs w:val="28"/>
          <w:lang w:val="en-US"/>
        </w:rPr>
        <w:t>animals</w:t>
      </w:r>
      <w:r w:rsidRPr="00FB3941">
        <w:rPr>
          <w:szCs w:val="28"/>
        </w:rPr>
        <w:t xml:space="preserve"> </w:t>
      </w:r>
      <w:r w:rsidRPr="00A73B28">
        <w:rPr>
          <w:szCs w:val="28"/>
          <w:lang w:val="en-US"/>
        </w:rPr>
        <w:t>used</w:t>
      </w:r>
      <w:r w:rsidRPr="00FB3941">
        <w:rPr>
          <w:szCs w:val="28"/>
        </w:rPr>
        <w:t xml:space="preserve"> </w:t>
      </w:r>
      <w:r w:rsidRPr="00A73B28">
        <w:rPr>
          <w:szCs w:val="28"/>
          <w:lang w:val="en-US"/>
        </w:rPr>
        <w:t>for</w:t>
      </w:r>
      <w:r w:rsidRPr="00FB3941">
        <w:rPr>
          <w:szCs w:val="28"/>
        </w:rPr>
        <w:t xml:space="preserve"> </w:t>
      </w:r>
      <w:r w:rsidRPr="00A73B28">
        <w:rPr>
          <w:szCs w:val="28"/>
          <w:lang w:val="en-US"/>
        </w:rPr>
        <w:t>experimental</w:t>
      </w:r>
      <w:r w:rsidRPr="00FB3941">
        <w:rPr>
          <w:szCs w:val="28"/>
        </w:rPr>
        <w:t xml:space="preserve"> </w:t>
      </w:r>
      <w:r w:rsidRPr="00A73B28">
        <w:rPr>
          <w:szCs w:val="28"/>
          <w:lang w:val="en-US"/>
        </w:rPr>
        <w:t>and</w:t>
      </w:r>
      <w:r w:rsidRPr="00FB3941">
        <w:rPr>
          <w:szCs w:val="28"/>
        </w:rPr>
        <w:t xml:space="preserve"> </w:t>
      </w:r>
      <w:r w:rsidRPr="00A73B28">
        <w:rPr>
          <w:szCs w:val="28"/>
          <w:lang w:val="en-US"/>
        </w:rPr>
        <w:t>other</w:t>
      </w:r>
      <w:r w:rsidRPr="00FB3941">
        <w:rPr>
          <w:szCs w:val="28"/>
        </w:rPr>
        <w:t xml:space="preserve"> </w:t>
      </w:r>
      <w:r w:rsidRPr="00A73B28">
        <w:rPr>
          <w:szCs w:val="28"/>
          <w:lang w:val="en-US"/>
        </w:rPr>
        <w:t>scientific</w:t>
      </w:r>
      <w:r w:rsidRPr="00FB3941">
        <w:rPr>
          <w:szCs w:val="28"/>
        </w:rPr>
        <w:t xml:space="preserve"> </w:t>
      </w:r>
      <w:r w:rsidRPr="00A73B28">
        <w:rPr>
          <w:szCs w:val="28"/>
          <w:lang w:val="en-US"/>
        </w:rPr>
        <w:t>purposes</w:t>
      </w:r>
      <w:r w:rsidRPr="00FB3941">
        <w:rPr>
          <w:szCs w:val="28"/>
        </w:rPr>
        <w:t>»</w:t>
      </w:r>
      <w:r>
        <w:rPr>
          <w:szCs w:val="28"/>
        </w:rPr>
        <w:t xml:space="preserve"> они</w:t>
      </w:r>
      <w:r w:rsidRPr="00FB3941">
        <w:rPr>
          <w:szCs w:val="28"/>
        </w:rPr>
        <w:t xml:space="preserve"> </w:t>
      </w:r>
      <w:r w:rsidRPr="00A73B28">
        <w:rPr>
          <w:szCs w:val="28"/>
        </w:rPr>
        <w:t>содержались</w:t>
      </w:r>
      <w:r w:rsidRPr="00FB3941">
        <w:rPr>
          <w:szCs w:val="28"/>
        </w:rPr>
        <w:t xml:space="preserve"> </w:t>
      </w:r>
      <w:r w:rsidRPr="00A73B28">
        <w:rPr>
          <w:szCs w:val="28"/>
        </w:rPr>
        <w:t>в</w:t>
      </w:r>
      <w:r w:rsidRPr="00FB3941">
        <w:rPr>
          <w:szCs w:val="28"/>
        </w:rPr>
        <w:t xml:space="preserve"> </w:t>
      </w:r>
      <w:r w:rsidRPr="00A73B28">
        <w:rPr>
          <w:szCs w:val="28"/>
        </w:rPr>
        <w:t>индивидуальных</w:t>
      </w:r>
      <w:r w:rsidRPr="00FB3941">
        <w:rPr>
          <w:szCs w:val="28"/>
        </w:rPr>
        <w:t xml:space="preserve"> </w:t>
      </w:r>
      <w:r w:rsidRPr="00A73B28">
        <w:rPr>
          <w:szCs w:val="28"/>
        </w:rPr>
        <w:t>загонах</w:t>
      </w:r>
      <w:r w:rsidRPr="00FB3941">
        <w:rPr>
          <w:szCs w:val="28"/>
        </w:rPr>
        <w:t xml:space="preserve"> </w:t>
      </w:r>
      <w:r w:rsidRPr="00A73B28">
        <w:rPr>
          <w:szCs w:val="28"/>
        </w:rPr>
        <w:t>размером</w:t>
      </w:r>
      <w:r w:rsidRPr="00FB3941">
        <w:rPr>
          <w:szCs w:val="28"/>
        </w:rPr>
        <w:t xml:space="preserve"> 0,7</w:t>
      </w:r>
      <w:r w:rsidRPr="00A73B28">
        <w:rPr>
          <w:szCs w:val="28"/>
        </w:rPr>
        <w:t>х</w:t>
      </w:r>
      <w:proofErr w:type="gramStart"/>
      <w:r w:rsidRPr="00FB3941">
        <w:rPr>
          <w:szCs w:val="28"/>
        </w:rPr>
        <w:t>1</w:t>
      </w:r>
      <w:proofErr w:type="gramEnd"/>
      <w:r w:rsidRPr="00FB3941">
        <w:rPr>
          <w:szCs w:val="28"/>
        </w:rPr>
        <w:t xml:space="preserve">,5 </w:t>
      </w:r>
      <w:r w:rsidRPr="00A73B28">
        <w:rPr>
          <w:szCs w:val="28"/>
        </w:rPr>
        <w:t>м</w:t>
      </w:r>
      <w:r w:rsidRPr="00FB3941">
        <w:rPr>
          <w:szCs w:val="28"/>
        </w:rPr>
        <w:t xml:space="preserve">. </w:t>
      </w:r>
      <w:r w:rsidRPr="00A73B28">
        <w:rPr>
          <w:szCs w:val="28"/>
        </w:rPr>
        <w:t xml:space="preserve">Каждый загон </w:t>
      </w:r>
      <w:r>
        <w:rPr>
          <w:szCs w:val="28"/>
        </w:rPr>
        <w:t xml:space="preserve">был </w:t>
      </w:r>
      <w:r w:rsidRPr="00A73B28">
        <w:rPr>
          <w:szCs w:val="28"/>
        </w:rPr>
        <w:t xml:space="preserve">снабжен металлической решетчатой дверью, кормушкой и поилкой из стали. Стены и пол </w:t>
      </w:r>
      <w:r>
        <w:rPr>
          <w:szCs w:val="28"/>
        </w:rPr>
        <w:t xml:space="preserve">загонов были </w:t>
      </w:r>
      <w:r w:rsidRPr="00A73B28">
        <w:rPr>
          <w:szCs w:val="28"/>
        </w:rPr>
        <w:t>выполнены из твердых непылеобразующих материалов, допускающих мойку и дезинфекцию рекомендованными средствами. Уборку загрязненных загонов и дезинфекцию проводили согласно требованиям нормативной документации.</w:t>
      </w:r>
    </w:p>
    <w:p w:rsidR="00057EB9" w:rsidRPr="00A73B28" w:rsidRDefault="00057EB9" w:rsidP="00057EB9">
      <w:pPr>
        <w:widowControl w:val="0"/>
        <w:suppressAutoHyphens/>
        <w:ind w:firstLine="720"/>
        <w:rPr>
          <w:szCs w:val="28"/>
        </w:rPr>
      </w:pPr>
      <w:r w:rsidRPr="00A73B28">
        <w:rPr>
          <w:szCs w:val="28"/>
        </w:rPr>
        <w:t xml:space="preserve">Животные получали 2-разовое питание </w:t>
      </w:r>
      <w:r>
        <w:rPr>
          <w:szCs w:val="28"/>
        </w:rPr>
        <w:t>в соответствии с</w:t>
      </w:r>
      <w:r w:rsidRPr="00A73B28">
        <w:rPr>
          <w:szCs w:val="28"/>
        </w:rPr>
        <w:t xml:space="preserve"> возраст</w:t>
      </w:r>
      <w:r>
        <w:rPr>
          <w:szCs w:val="28"/>
        </w:rPr>
        <w:t>ом</w:t>
      </w:r>
      <w:r w:rsidRPr="00A73B28">
        <w:rPr>
          <w:szCs w:val="28"/>
        </w:rPr>
        <w:t xml:space="preserve"> и имели свободный доступ к воде. </w:t>
      </w:r>
      <w:r>
        <w:rPr>
          <w:szCs w:val="28"/>
        </w:rPr>
        <w:t>Рацион каждого животного был представлен</w:t>
      </w:r>
      <w:r w:rsidRPr="00A73B28">
        <w:rPr>
          <w:szCs w:val="28"/>
        </w:rPr>
        <w:t xml:space="preserve"> полнорационны</w:t>
      </w:r>
      <w:r>
        <w:rPr>
          <w:szCs w:val="28"/>
        </w:rPr>
        <w:t>м</w:t>
      </w:r>
      <w:r w:rsidRPr="00A73B28">
        <w:rPr>
          <w:szCs w:val="28"/>
        </w:rPr>
        <w:t xml:space="preserve"> экструдированны</w:t>
      </w:r>
      <w:r>
        <w:rPr>
          <w:szCs w:val="28"/>
        </w:rPr>
        <w:t>м</w:t>
      </w:r>
      <w:r w:rsidRPr="00A73B28">
        <w:rPr>
          <w:szCs w:val="28"/>
        </w:rPr>
        <w:t xml:space="preserve"> брикетированны</w:t>
      </w:r>
      <w:r>
        <w:rPr>
          <w:szCs w:val="28"/>
        </w:rPr>
        <w:t>м</w:t>
      </w:r>
      <w:r w:rsidRPr="00A73B28">
        <w:rPr>
          <w:szCs w:val="28"/>
        </w:rPr>
        <w:t xml:space="preserve"> корм</w:t>
      </w:r>
      <w:r>
        <w:rPr>
          <w:szCs w:val="28"/>
        </w:rPr>
        <w:t>ом</w:t>
      </w:r>
      <w:r w:rsidRPr="00A73B28">
        <w:rPr>
          <w:szCs w:val="28"/>
        </w:rPr>
        <w:t xml:space="preserve"> «ПроКорм для свиней» (ГОСТ </w:t>
      </w:r>
      <w:proofErr w:type="gramStart"/>
      <w:r w:rsidRPr="00A73B28">
        <w:rPr>
          <w:szCs w:val="28"/>
        </w:rPr>
        <w:t>Р</w:t>
      </w:r>
      <w:proofErr w:type="gramEnd"/>
      <w:r w:rsidRPr="00A73B28">
        <w:rPr>
          <w:szCs w:val="28"/>
        </w:rPr>
        <w:t xml:space="preserve"> 50258-92; ЗАО «Компания «БиоПро», Новосибирск). </w:t>
      </w:r>
      <w:r w:rsidRPr="00A73B28">
        <w:rPr>
          <w:szCs w:val="28"/>
        </w:rPr>
        <w:lastRenderedPageBreak/>
        <w:t>Подготовк</w:t>
      </w:r>
      <w:r>
        <w:rPr>
          <w:szCs w:val="28"/>
        </w:rPr>
        <w:t>а</w:t>
      </w:r>
      <w:r w:rsidRPr="00A73B28">
        <w:rPr>
          <w:szCs w:val="28"/>
        </w:rPr>
        <w:t xml:space="preserve"> корма осуществлял</w:t>
      </w:r>
      <w:r>
        <w:rPr>
          <w:szCs w:val="28"/>
        </w:rPr>
        <w:t>ась в соответствии с</w:t>
      </w:r>
      <w:r w:rsidRPr="00A73B28">
        <w:rPr>
          <w:szCs w:val="28"/>
        </w:rPr>
        <w:t xml:space="preserve"> требованиям</w:t>
      </w:r>
      <w:r>
        <w:rPr>
          <w:szCs w:val="28"/>
        </w:rPr>
        <w:t>и</w:t>
      </w:r>
      <w:r w:rsidRPr="00A73B28">
        <w:rPr>
          <w:szCs w:val="28"/>
        </w:rPr>
        <w:t xml:space="preserve"> нормативной документации.</w:t>
      </w:r>
    </w:p>
    <w:p w:rsidR="00057EB9" w:rsidRDefault="00057EB9" w:rsidP="00057EB9">
      <w:pPr>
        <w:widowControl w:val="0"/>
        <w:suppressAutoHyphens/>
        <w:ind w:firstLine="720"/>
        <w:rPr>
          <w:szCs w:val="28"/>
        </w:rPr>
      </w:pPr>
      <w:r w:rsidRPr="00A73B28">
        <w:rPr>
          <w:szCs w:val="28"/>
        </w:rPr>
        <w:t xml:space="preserve">Перед </w:t>
      </w:r>
      <w:r>
        <w:rPr>
          <w:szCs w:val="28"/>
        </w:rPr>
        <w:t xml:space="preserve">началом </w:t>
      </w:r>
      <w:r w:rsidRPr="00A73B28">
        <w:rPr>
          <w:szCs w:val="28"/>
        </w:rPr>
        <w:t>эксперимент</w:t>
      </w:r>
      <w:r>
        <w:rPr>
          <w:szCs w:val="28"/>
        </w:rPr>
        <w:t>а</w:t>
      </w:r>
      <w:r w:rsidRPr="00A73B28">
        <w:rPr>
          <w:szCs w:val="28"/>
        </w:rPr>
        <w:t xml:space="preserve"> животные проходили адаптацию в течение 5 дней. В этот период проводил</w:t>
      </w:r>
      <w:r>
        <w:rPr>
          <w:szCs w:val="28"/>
        </w:rPr>
        <w:t>ся</w:t>
      </w:r>
      <w:r w:rsidRPr="00A73B28">
        <w:rPr>
          <w:szCs w:val="28"/>
        </w:rPr>
        <w:t xml:space="preserve"> ежедневный ветеринарно-клинический осмотр животных согласно требованиям нормативной документации.</w:t>
      </w:r>
    </w:p>
    <w:p w:rsidR="00057EB9" w:rsidRDefault="00057EB9" w:rsidP="00057EB9">
      <w:pPr>
        <w:widowControl w:val="0"/>
        <w:suppressAutoHyphens/>
        <w:ind w:firstLine="720"/>
        <w:rPr>
          <w:szCs w:val="28"/>
        </w:rPr>
      </w:pPr>
      <w:r>
        <w:rPr>
          <w:szCs w:val="28"/>
        </w:rPr>
        <w:t>С целью и</w:t>
      </w:r>
      <w:r w:rsidRPr="00FB3941">
        <w:rPr>
          <w:szCs w:val="28"/>
        </w:rPr>
        <w:t>дентифи</w:t>
      </w:r>
      <w:r>
        <w:rPr>
          <w:szCs w:val="28"/>
        </w:rPr>
        <w:t>кации</w:t>
      </w:r>
      <w:r w:rsidRPr="00FB3941">
        <w:rPr>
          <w:szCs w:val="28"/>
        </w:rPr>
        <w:t xml:space="preserve"> </w:t>
      </w:r>
      <w:r>
        <w:rPr>
          <w:szCs w:val="28"/>
        </w:rPr>
        <w:t xml:space="preserve">экспериментальных </w:t>
      </w:r>
      <w:r w:rsidRPr="00FB3941">
        <w:rPr>
          <w:szCs w:val="28"/>
        </w:rPr>
        <w:t>животн</w:t>
      </w:r>
      <w:r>
        <w:rPr>
          <w:szCs w:val="28"/>
        </w:rPr>
        <w:t>ых каждому из них</w:t>
      </w:r>
      <w:r w:rsidRPr="00FB3941">
        <w:rPr>
          <w:szCs w:val="28"/>
        </w:rPr>
        <w:t xml:space="preserve"> </w:t>
      </w:r>
      <w:r>
        <w:rPr>
          <w:szCs w:val="28"/>
        </w:rPr>
        <w:t xml:space="preserve">был присвоен </w:t>
      </w:r>
      <w:r w:rsidRPr="00A73B28">
        <w:rPr>
          <w:szCs w:val="28"/>
        </w:rPr>
        <w:t>уникальн</w:t>
      </w:r>
      <w:r>
        <w:rPr>
          <w:szCs w:val="28"/>
        </w:rPr>
        <w:t>ый</w:t>
      </w:r>
      <w:r w:rsidRPr="00A73B28">
        <w:rPr>
          <w:szCs w:val="28"/>
        </w:rPr>
        <w:t xml:space="preserve"> индивидуальн</w:t>
      </w:r>
      <w:r>
        <w:rPr>
          <w:szCs w:val="28"/>
        </w:rPr>
        <w:t>ый</w:t>
      </w:r>
      <w:r w:rsidRPr="00A73B28">
        <w:rPr>
          <w:szCs w:val="28"/>
        </w:rPr>
        <w:t xml:space="preserve"> </w:t>
      </w:r>
      <w:r>
        <w:rPr>
          <w:szCs w:val="28"/>
        </w:rPr>
        <w:t>номер – он был указан на</w:t>
      </w:r>
      <w:r w:rsidRPr="00A73B28">
        <w:rPr>
          <w:szCs w:val="28"/>
        </w:rPr>
        <w:t xml:space="preserve"> стандартн</w:t>
      </w:r>
      <w:r>
        <w:rPr>
          <w:szCs w:val="28"/>
        </w:rPr>
        <w:t>ой</w:t>
      </w:r>
      <w:r w:rsidRPr="00A73B28">
        <w:rPr>
          <w:szCs w:val="28"/>
        </w:rPr>
        <w:t xml:space="preserve"> бирк</w:t>
      </w:r>
      <w:r>
        <w:rPr>
          <w:szCs w:val="28"/>
        </w:rPr>
        <w:t xml:space="preserve">е, прикрепленной </w:t>
      </w:r>
      <w:r w:rsidRPr="00A73B28">
        <w:rPr>
          <w:szCs w:val="28"/>
        </w:rPr>
        <w:t xml:space="preserve"> </w:t>
      </w:r>
      <w:r w:rsidRPr="00FB3941">
        <w:rPr>
          <w:szCs w:val="28"/>
        </w:rPr>
        <w:t xml:space="preserve">на ушной раковине </w:t>
      </w:r>
      <w:r>
        <w:rPr>
          <w:szCs w:val="28"/>
        </w:rPr>
        <w:t>животных</w:t>
      </w:r>
      <w:r w:rsidRPr="00A73B28">
        <w:rPr>
          <w:szCs w:val="28"/>
        </w:rPr>
        <w:t>.</w:t>
      </w:r>
    </w:p>
    <w:p w:rsidR="00057EB9" w:rsidRPr="00F947F8" w:rsidRDefault="00057EB9" w:rsidP="00057EB9">
      <w:pPr>
        <w:widowControl w:val="0"/>
        <w:suppressAutoHyphens/>
        <w:ind w:firstLine="720"/>
        <w:rPr>
          <w:szCs w:val="28"/>
        </w:rPr>
      </w:pPr>
      <w:r w:rsidRPr="00A73B28">
        <w:rPr>
          <w:szCs w:val="28"/>
        </w:rPr>
        <w:t>Имплантацию эндоваскулярны</w:t>
      </w:r>
      <w:r>
        <w:rPr>
          <w:szCs w:val="28"/>
        </w:rPr>
        <w:t>х протезов</w:t>
      </w:r>
      <w:r w:rsidRPr="00A73B28">
        <w:rPr>
          <w:szCs w:val="28"/>
        </w:rPr>
        <w:t xml:space="preserve"> аортального клапана сердца ALCOR подопытным животным проводили во время </w:t>
      </w:r>
      <w:bookmarkStart w:id="1" w:name="_Hlk6401071"/>
      <w:r w:rsidRPr="00A73B28">
        <w:rPr>
          <w:szCs w:val="28"/>
        </w:rPr>
        <w:t>рентген-эндоваскулярных</w:t>
      </w:r>
      <w:bookmarkEnd w:id="1"/>
      <w:r w:rsidRPr="00A73B28">
        <w:rPr>
          <w:szCs w:val="28"/>
        </w:rPr>
        <w:t xml:space="preserve"> операций с помощью сосудистого доступа через сонную артерию. </w:t>
      </w:r>
      <w:bookmarkStart w:id="2" w:name="_Hlk6402306"/>
      <w:r w:rsidRPr="00A73B28">
        <w:rPr>
          <w:szCs w:val="28"/>
        </w:rPr>
        <w:t>Размерность клапанов</w:t>
      </w:r>
      <w:r>
        <w:t xml:space="preserve"> указана в табл. 2</w:t>
      </w:r>
      <w:r w:rsidRPr="0052118B">
        <w:t>.</w:t>
      </w:r>
      <w:bookmarkEnd w:id="2"/>
      <w:r w:rsidRPr="0052118B">
        <w:t xml:space="preserve"> </w:t>
      </w:r>
    </w:p>
    <w:p w:rsidR="00057EB9" w:rsidRDefault="00057EB9" w:rsidP="00057EB9">
      <w:pPr>
        <w:jc w:val="right"/>
      </w:pPr>
      <w:r w:rsidRPr="00DD3E1F">
        <w:t xml:space="preserve">Таблица </w:t>
      </w:r>
      <w:r>
        <w:t>2</w:t>
      </w:r>
    </w:p>
    <w:p w:rsidR="00057EB9" w:rsidRPr="00DD3E1F" w:rsidRDefault="00057EB9" w:rsidP="00057EB9">
      <w:pPr>
        <w:jc w:val="right"/>
      </w:pPr>
      <w:r>
        <w:t>Типоразмеры исследуемых транскатетерных аортальных клапанов сердца</w:t>
      </w:r>
    </w:p>
    <w:tbl>
      <w:tblPr>
        <w:tblW w:w="924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8"/>
        <w:gridCol w:w="7655"/>
      </w:tblGrid>
      <w:tr w:rsidR="00057EB9" w:rsidRPr="0009100C" w:rsidTr="00057EB9">
        <w:trPr>
          <w:cantSplit/>
        </w:trPr>
        <w:tc>
          <w:tcPr>
            <w:tcW w:w="1588" w:type="dxa"/>
            <w:shd w:val="clear" w:color="auto" w:fill="auto"/>
          </w:tcPr>
          <w:p w:rsidR="00057EB9" w:rsidRPr="0009100C" w:rsidRDefault="00057EB9" w:rsidP="00057EB9">
            <w:pPr>
              <w:jc w:val="center"/>
              <w:rPr>
                <w:rFonts w:eastAsia="Calibri"/>
                <w:spacing w:val="-4"/>
              </w:rPr>
            </w:pPr>
            <w:r>
              <w:rPr>
                <w:rFonts w:eastAsia="Calibri"/>
                <w:spacing w:val="-4"/>
              </w:rPr>
              <w:t>Номер животного</w:t>
            </w:r>
          </w:p>
        </w:tc>
        <w:tc>
          <w:tcPr>
            <w:tcW w:w="7655" w:type="dxa"/>
            <w:shd w:val="clear" w:color="auto" w:fill="auto"/>
          </w:tcPr>
          <w:p w:rsidR="00057EB9" w:rsidRPr="0009100C" w:rsidRDefault="00057EB9" w:rsidP="00057EB9">
            <w:pPr>
              <w:jc w:val="center"/>
              <w:rPr>
                <w:rFonts w:eastAsia="Calibri"/>
                <w:spacing w:val="-4"/>
              </w:rPr>
            </w:pPr>
            <w:r w:rsidRPr="0009100C">
              <w:rPr>
                <w:rFonts w:eastAsia="Calibri"/>
                <w:spacing w:val="-4"/>
              </w:rPr>
              <w:t>Наименование</w:t>
            </w:r>
            <w:r>
              <w:rPr>
                <w:rFonts w:eastAsia="Calibri"/>
                <w:spacing w:val="-4"/>
              </w:rPr>
              <w:t xml:space="preserve"> </w:t>
            </w:r>
            <w:proofErr w:type="gramStart"/>
            <w:r>
              <w:rPr>
                <w:rFonts w:eastAsia="Calibri"/>
                <w:spacing w:val="-4"/>
              </w:rPr>
              <w:t>имплантируемого</w:t>
            </w:r>
            <w:proofErr w:type="gramEnd"/>
            <w:r>
              <w:rPr>
                <w:rFonts w:eastAsia="Calibri"/>
                <w:spacing w:val="-4"/>
              </w:rPr>
              <w:t xml:space="preserve"> стента</w:t>
            </w:r>
          </w:p>
        </w:tc>
      </w:tr>
      <w:tr w:rsidR="00057EB9" w:rsidRPr="0009100C" w:rsidTr="00057EB9">
        <w:trPr>
          <w:cantSplit/>
        </w:trPr>
        <w:tc>
          <w:tcPr>
            <w:tcW w:w="1588" w:type="dxa"/>
            <w:shd w:val="clear" w:color="auto" w:fill="auto"/>
          </w:tcPr>
          <w:p w:rsidR="00057EB9" w:rsidRPr="0009100C" w:rsidRDefault="00057EB9" w:rsidP="00057EB9">
            <w:pPr>
              <w:rPr>
                <w:rFonts w:eastAsia="Calibri"/>
                <w:spacing w:val="-4"/>
                <w:lang w:val="en-US"/>
              </w:rPr>
            </w:pPr>
            <w:r w:rsidRPr="0009100C">
              <w:rPr>
                <w:rFonts w:eastAsia="Calibri"/>
                <w:spacing w:val="-4"/>
                <w:lang w:val="en-US"/>
              </w:rPr>
              <w:t>1</w:t>
            </w:r>
          </w:p>
        </w:tc>
        <w:tc>
          <w:tcPr>
            <w:tcW w:w="7655" w:type="dxa"/>
            <w:shd w:val="clear" w:color="auto" w:fill="auto"/>
          </w:tcPr>
          <w:p w:rsidR="00057EB9" w:rsidRPr="0009100C" w:rsidRDefault="00057EB9" w:rsidP="00057EB9">
            <w:pPr>
              <w:rPr>
                <w:rFonts w:eastAsia="Calibri"/>
              </w:rPr>
            </w:pPr>
            <w:r w:rsidRPr="008E19E8">
              <w:rPr>
                <w:rFonts w:eastAsia="Calibri"/>
              </w:rPr>
              <w:t xml:space="preserve">Протез эндоваскулярный аортального клапана сердца </w:t>
            </w:r>
            <w:r w:rsidRPr="008E19E8">
              <w:rPr>
                <w:rFonts w:eastAsia="Calibri"/>
                <w:lang w:val="en-US"/>
              </w:rPr>
              <w:t>ALCOR</w:t>
            </w:r>
            <w:r w:rsidRPr="008E19E8">
              <w:rPr>
                <w:rFonts w:eastAsia="Calibri"/>
              </w:rPr>
              <w:t xml:space="preserve">, код </w:t>
            </w:r>
            <w:r w:rsidRPr="008E19E8">
              <w:rPr>
                <w:rFonts w:eastAsia="Calibri"/>
                <w:lang w:val="en-US"/>
              </w:rPr>
              <w:t>CV</w:t>
            </w:r>
            <w:r w:rsidRPr="008E19E8">
              <w:rPr>
                <w:rFonts w:eastAsia="Calibri"/>
              </w:rPr>
              <w:t>26, по ТУ 32.50.22-011-83540797-2017</w:t>
            </w:r>
          </w:p>
        </w:tc>
      </w:tr>
      <w:tr w:rsidR="00057EB9" w:rsidRPr="0009100C" w:rsidTr="00057EB9">
        <w:trPr>
          <w:cantSplit/>
        </w:trPr>
        <w:tc>
          <w:tcPr>
            <w:tcW w:w="1588" w:type="dxa"/>
            <w:shd w:val="clear" w:color="auto" w:fill="auto"/>
          </w:tcPr>
          <w:p w:rsidR="00057EB9" w:rsidRPr="0009100C" w:rsidRDefault="00057EB9" w:rsidP="00057EB9">
            <w:pPr>
              <w:rPr>
                <w:rFonts w:eastAsia="Calibri"/>
                <w:spacing w:val="-4"/>
              </w:rPr>
            </w:pPr>
            <w:r w:rsidRPr="0009100C">
              <w:rPr>
                <w:rFonts w:eastAsia="Calibri"/>
                <w:spacing w:val="-4"/>
              </w:rPr>
              <w:t>2</w:t>
            </w:r>
          </w:p>
        </w:tc>
        <w:tc>
          <w:tcPr>
            <w:tcW w:w="7655" w:type="dxa"/>
            <w:shd w:val="clear" w:color="auto" w:fill="auto"/>
          </w:tcPr>
          <w:p w:rsidR="00057EB9" w:rsidRDefault="00057EB9" w:rsidP="00057EB9">
            <w:r w:rsidRPr="00BE4FAF">
              <w:rPr>
                <w:rFonts w:eastAsia="Calibri"/>
              </w:rPr>
              <w:t xml:space="preserve">Протез эндоваскулярный аортального клапана сердца </w:t>
            </w:r>
            <w:r w:rsidRPr="00BE4FAF">
              <w:rPr>
                <w:rFonts w:eastAsia="Calibri"/>
                <w:lang w:val="en-US"/>
              </w:rPr>
              <w:t>ALCOR</w:t>
            </w:r>
            <w:r w:rsidRPr="00BE4FAF">
              <w:rPr>
                <w:rFonts w:eastAsia="Calibri"/>
              </w:rPr>
              <w:t xml:space="preserve">, код </w:t>
            </w:r>
            <w:r w:rsidRPr="00BE4FAF">
              <w:rPr>
                <w:rFonts w:eastAsia="Calibri"/>
                <w:lang w:val="en-US"/>
              </w:rPr>
              <w:t>CV</w:t>
            </w:r>
            <w:r w:rsidRPr="00BE4FAF">
              <w:rPr>
                <w:rFonts w:eastAsia="Calibri"/>
              </w:rPr>
              <w:t>26, по ТУ 32.50.22-011-83540797-2017</w:t>
            </w:r>
          </w:p>
        </w:tc>
      </w:tr>
      <w:tr w:rsidR="00057EB9" w:rsidRPr="0009100C" w:rsidTr="00057EB9">
        <w:trPr>
          <w:cantSplit/>
        </w:trPr>
        <w:tc>
          <w:tcPr>
            <w:tcW w:w="1588" w:type="dxa"/>
            <w:shd w:val="clear" w:color="auto" w:fill="auto"/>
          </w:tcPr>
          <w:p w:rsidR="00057EB9" w:rsidRPr="0009100C" w:rsidRDefault="00057EB9" w:rsidP="00057EB9">
            <w:pPr>
              <w:rPr>
                <w:rFonts w:eastAsia="Calibri"/>
                <w:spacing w:val="-4"/>
                <w:lang w:val="en-US"/>
              </w:rPr>
            </w:pPr>
            <w:r w:rsidRPr="0009100C">
              <w:rPr>
                <w:rFonts w:eastAsia="Calibri"/>
                <w:spacing w:val="-4"/>
                <w:lang w:val="en-US"/>
              </w:rPr>
              <w:t>3</w:t>
            </w:r>
          </w:p>
        </w:tc>
        <w:tc>
          <w:tcPr>
            <w:tcW w:w="7655" w:type="dxa"/>
            <w:shd w:val="clear" w:color="auto" w:fill="auto"/>
          </w:tcPr>
          <w:p w:rsidR="00057EB9" w:rsidRDefault="00057EB9" w:rsidP="00057EB9">
            <w:r w:rsidRPr="00BE4FAF">
              <w:rPr>
                <w:rFonts w:eastAsia="Calibri"/>
              </w:rPr>
              <w:t xml:space="preserve">Протез эндоваскулярный аортального клапана сердца </w:t>
            </w:r>
            <w:r w:rsidRPr="00BE4FAF">
              <w:rPr>
                <w:rFonts w:eastAsia="Calibri"/>
                <w:lang w:val="en-US"/>
              </w:rPr>
              <w:t>ALCOR</w:t>
            </w:r>
            <w:r w:rsidRPr="00BE4FAF">
              <w:rPr>
                <w:rFonts w:eastAsia="Calibri"/>
              </w:rPr>
              <w:t xml:space="preserve">, код </w:t>
            </w:r>
            <w:r w:rsidRPr="00BE4FAF">
              <w:rPr>
                <w:rFonts w:eastAsia="Calibri"/>
                <w:lang w:val="en-US"/>
              </w:rPr>
              <w:t>CV</w:t>
            </w:r>
            <w:r w:rsidRPr="00BE4FAF">
              <w:rPr>
                <w:rFonts w:eastAsia="Calibri"/>
              </w:rPr>
              <w:t>26, по ТУ 32.50.22-011-83540797-2017</w:t>
            </w:r>
          </w:p>
        </w:tc>
      </w:tr>
      <w:tr w:rsidR="00057EB9" w:rsidRPr="0009100C" w:rsidTr="00057EB9">
        <w:trPr>
          <w:cantSplit/>
        </w:trPr>
        <w:tc>
          <w:tcPr>
            <w:tcW w:w="1588" w:type="dxa"/>
            <w:shd w:val="clear" w:color="auto" w:fill="auto"/>
          </w:tcPr>
          <w:p w:rsidR="00057EB9" w:rsidRPr="0009100C" w:rsidRDefault="00057EB9" w:rsidP="00057EB9">
            <w:pPr>
              <w:rPr>
                <w:rFonts w:eastAsia="Calibri"/>
                <w:spacing w:val="-4"/>
                <w:lang w:val="en-US"/>
              </w:rPr>
            </w:pPr>
            <w:r w:rsidRPr="0009100C">
              <w:rPr>
                <w:rFonts w:eastAsia="Calibri"/>
                <w:spacing w:val="-4"/>
                <w:lang w:val="en-US"/>
              </w:rPr>
              <w:t>4</w:t>
            </w:r>
          </w:p>
        </w:tc>
        <w:tc>
          <w:tcPr>
            <w:tcW w:w="7655" w:type="dxa"/>
            <w:shd w:val="clear" w:color="auto" w:fill="auto"/>
          </w:tcPr>
          <w:p w:rsidR="00057EB9" w:rsidRDefault="00057EB9" w:rsidP="00057EB9">
            <w:r w:rsidRPr="00BE4FAF">
              <w:rPr>
                <w:rFonts w:eastAsia="Calibri"/>
              </w:rPr>
              <w:t xml:space="preserve">Протез эндоваскулярный аортального клапана сердца </w:t>
            </w:r>
            <w:r w:rsidRPr="00BE4FAF">
              <w:rPr>
                <w:rFonts w:eastAsia="Calibri"/>
                <w:lang w:val="en-US"/>
              </w:rPr>
              <w:t>ALCOR</w:t>
            </w:r>
            <w:r w:rsidRPr="00BE4FAF">
              <w:rPr>
                <w:rFonts w:eastAsia="Calibri"/>
              </w:rPr>
              <w:t xml:space="preserve">, код </w:t>
            </w:r>
            <w:r w:rsidRPr="00BE4FAF">
              <w:rPr>
                <w:rFonts w:eastAsia="Calibri"/>
                <w:lang w:val="en-US"/>
              </w:rPr>
              <w:t>CV</w:t>
            </w:r>
            <w:r w:rsidRPr="00BE4FAF">
              <w:rPr>
                <w:rFonts w:eastAsia="Calibri"/>
              </w:rPr>
              <w:t>26, по ТУ 32.50.22-011-83540797-2017</w:t>
            </w:r>
          </w:p>
        </w:tc>
      </w:tr>
      <w:tr w:rsidR="00057EB9" w:rsidRPr="0009100C" w:rsidTr="00057EB9">
        <w:trPr>
          <w:cantSplit/>
        </w:trPr>
        <w:tc>
          <w:tcPr>
            <w:tcW w:w="1588" w:type="dxa"/>
            <w:shd w:val="clear" w:color="auto" w:fill="auto"/>
          </w:tcPr>
          <w:p w:rsidR="00057EB9" w:rsidRPr="004D4F86" w:rsidRDefault="00057EB9" w:rsidP="00057EB9">
            <w:pPr>
              <w:rPr>
                <w:rFonts w:eastAsia="Calibri"/>
                <w:spacing w:val="-4"/>
              </w:rPr>
            </w:pPr>
            <w:r>
              <w:rPr>
                <w:rFonts w:eastAsia="Calibri"/>
                <w:spacing w:val="-4"/>
              </w:rPr>
              <w:t>5</w:t>
            </w:r>
          </w:p>
        </w:tc>
        <w:tc>
          <w:tcPr>
            <w:tcW w:w="7655" w:type="dxa"/>
            <w:shd w:val="clear" w:color="auto" w:fill="auto"/>
          </w:tcPr>
          <w:p w:rsidR="00057EB9" w:rsidRDefault="00057EB9" w:rsidP="00057EB9">
            <w:r w:rsidRPr="00BE4FAF">
              <w:rPr>
                <w:rFonts w:eastAsia="Calibri"/>
              </w:rPr>
              <w:t xml:space="preserve">Протез эндоваскулярный аортального клапана сердца </w:t>
            </w:r>
            <w:r w:rsidRPr="00BE4FAF">
              <w:rPr>
                <w:rFonts w:eastAsia="Calibri"/>
                <w:lang w:val="en-US"/>
              </w:rPr>
              <w:t>ALCOR</w:t>
            </w:r>
            <w:r w:rsidRPr="00BE4FAF">
              <w:rPr>
                <w:rFonts w:eastAsia="Calibri"/>
              </w:rPr>
              <w:t xml:space="preserve">, код </w:t>
            </w:r>
            <w:r w:rsidRPr="00BE4FAF">
              <w:rPr>
                <w:rFonts w:eastAsia="Calibri"/>
                <w:lang w:val="en-US"/>
              </w:rPr>
              <w:t>CV</w:t>
            </w:r>
            <w:r w:rsidRPr="00BE4FAF">
              <w:rPr>
                <w:rFonts w:eastAsia="Calibri"/>
              </w:rPr>
              <w:t>2</w:t>
            </w:r>
            <w:r w:rsidRPr="00243EB6">
              <w:rPr>
                <w:rFonts w:eastAsia="Calibri"/>
              </w:rPr>
              <w:t>9</w:t>
            </w:r>
            <w:r w:rsidRPr="00BE4FAF">
              <w:rPr>
                <w:rFonts w:eastAsia="Calibri"/>
              </w:rPr>
              <w:t>, по ТУ 32.50.22-011-83540797-2017</w:t>
            </w:r>
          </w:p>
        </w:tc>
      </w:tr>
      <w:tr w:rsidR="00057EB9" w:rsidRPr="0009100C" w:rsidTr="00057EB9">
        <w:trPr>
          <w:cantSplit/>
        </w:trPr>
        <w:tc>
          <w:tcPr>
            <w:tcW w:w="1588" w:type="dxa"/>
            <w:shd w:val="clear" w:color="auto" w:fill="auto"/>
          </w:tcPr>
          <w:p w:rsidR="00057EB9" w:rsidRPr="004D4F86" w:rsidRDefault="00057EB9" w:rsidP="00057EB9">
            <w:pPr>
              <w:rPr>
                <w:rFonts w:eastAsia="Calibri"/>
                <w:spacing w:val="-4"/>
              </w:rPr>
            </w:pPr>
            <w:r>
              <w:rPr>
                <w:rFonts w:eastAsia="Calibri"/>
                <w:spacing w:val="-4"/>
              </w:rPr>
              <w:t>6</w:t>
            </w:r>
          </w:p>
        </w:tc>
        <w:tc>
          <w:tcPr>
            <w:tcW w:w="7655" w:type="dxa"/>
            <w:shd w:val="clear" w:color="auto" w:fill="auto"/>
          </w:tcPr>
          <w:p w:rsidR="00057EB9" w:rsidRDefault="00057EB9" w:rsidP="00057EB9">
            <w:r w:rsidRPr="00BE4FAF">
              <w:rPr>
                <w:rFonts w:eastAsia="Calibri"/>
              </w:rPr>
              <w:t xml:space="preserve">Протез эндоваскулярный аортального клапана сердца </w:t>
            </w:r>
            <w:r w:rsidRPr="00BE4FAF">
              <w:rPr>
                <w:rFonts w:eastAsia="Calibri"/>
                <w:lang w:val="en-US"/>
              </w:rPr>
              <w:t>ALCOR</w:t>
            </w:r>
            <w:r w:rsidRPr="00BE4FAF">
              <w:rPr>
                <w:rFonts w:eastAsia="Calibri"/>
              </w:rPr>
              <w:t xml:space="preserve">, код </w:t>
            </w:r>
            <w:r w:rsidRPr="00BE4FAF">
              <w:rPr>
                <w:rFonts w:eastAsia="Calibri"/>
                <w:lang w:val="en-US"/>
              </w:rPr>
              <w:t>CV</w:t>
            </w:r>
            <w:r w:rsidRPr="00243EB6">
              <w:rPr>
                <w:rFonts w:eastAsia="Calibri"/>
              </w:rPr>
              <w:t>3</w:t>
            </w:r>
            <w:r w:rsidRPr="00D96B44">
              <w:rPr>
                <w:rFonts w:eastAsia="Calibri"/>
              </w:rPr>
              <w:t>1</w:t>
            </w:r>
            <w:r w:rsidRPr="00BE4FAF">
              <w:rPr>
                <w:rFonts w:eastAsia="Calibri"/>
              </w:rPr>
              <w:t>, по ТУ 32.50.22-011-83540797-2017</w:t>
            </w:r>
          </w:p>
        </w:tc>
      </w:tr>
    </w:tbl>
    <w:p w:rsidR="00057EB9" w:rsidRDefault="00057EB9" w:rsidP="00057EB9">
      <w:pPr>
        <w:ind w:firstLine="708"/>
      </w:pPr>
      <w:r>
        <w:lastRenderedPageBreak/>
        <w:t>До имплантации проводилась оценка системы сборки, в</w:t>
      </w:r>
      <w:r w:rsidRPr="0052118B">
        <w:t>о время имплантации б</w:t>
      </w:r>
      <w:r>
        <w:t>ыла</w:t>
      </w:r>
      <w:r w:rsidRPr="0052118B">
        <w:t xml:space="preserve"> оценен</w:t>
      </w:r>
      <w:r>
        <w:t>а</w:t>
      </w:r>
      <w:r w:rsidRPr="0052118B">
        <w:t xml:space="preserve"> </w:t>
      </w:r>
      <w:r>
        <w:t>система доставки,</w:t>
      </w:r>
      <w:r w:rsidRPr="0052118B">
        <w:t xml:space="preserve"> раскрытие </w:t>
      </w:r>
      <w:r>
        <w:t>клапанов</w:t>
      </w:r>
      <w:r w:rsidRPr="0052118B">
        <w:t xml:space="preserve"> и удаление системы доставки. После имплантации б</w:t>
      </w:r>
      <w:r>
        <w:t>ыли</w:t>
      </w:r>
      <w:r w:rsidRPr="0052118B">
        <w:t xml:space="preserve"> проведены исследования in vivo взаимодействия </w:t>
      </w:r>
      <w:r w:rsidRPr="00B93E02">
        <w:t>эндоваскулярн</w:t>
      </w:r>
      <w:r>
        <w:t>ого протеза</w:t>
      </w:r>
      <w:r w:rsidRPr="00B93E02">
        <w:t xml:space="preserve"> аортального клапана сердца </w:t>
      </w:r>
      <w:r w:rsidRPr="0052118B">
        <w:t>с тканями и жидкостями организма на начальных периодах</w:t>
      </w:r>
      <w:r>
        <w:t>, а также на</w:t>
      </w:r>
      <w:r w:rsidRPr="0052118B">
        <w:t xml:space="preserve"> разных срок</w:t>
      </w:r>
      <w:r>
        <w:t>ах катамнестического наблюдения.</w:t>
      </w:r>
      <w:r w:rsidRPr="0052118B">
        <w:t xml:space="preserve"> </w:t>
      </w:r>
    </w:p>
    <w:p w:rsidR="00057EB9" w:rsidRPr="00A73B28" w:rsidRDefault="00057EB9" w:rsidP="00057EB9">
      <w:pPr>
        <w:widowControl w:val="0"/>
        <w:suppressAutoHyphens/>
        <w:ind w:firstLine="720"/>
        <w:rPr>
          <w:szCs w:val="28"/>
        </w:rPr>
      </w:pPr>
      <w:bookmarkStart w:id="3" w:name="_Hlk522110118"/>
      <w:r w:rsidRPr="00A73B28">
        <w:rPr>
          <w:szCs w:val="28"/>
        </w:rPr>
        <w:t>Для вывода животных из эксперимента осуществляли эвтаназию с помощью передозировки тиопенталом натрия путем внутривенного введения препарата в дозе 50 мг/кг.</w:t>
      </w:r>
    </w:p>
    <w:p w:rsidR="00057EB9" w:rsidRDefault="00057EB9" w:rsidP="00057EB9">
      <w:pPr>
        <w:widowControl w:val="0"/>
        <w:suppressAutoHyphens/>
        <w:ind w:firstLine="720"/>
        <w:rPr>
          <w:szCs w:val="28"/>
        </w:rPr>
      </w:pPr>
    </w:p>
    <w:p w:rsidR="00057EB9" w:rsidRPr="00E04CE0" w:rsidRDefault="00057EB9" w:rsidP="00057EB9">
      <w:pPr>
        <w:widowControl w:val="0"/>
        <w:suppressAutoHyphens/>
        <w:jc w:val="center"/>
        <w:rPr>
          <w:b/>
          <w:szCs w:val="28"/>
        </w:rPr>
      </w:pPr>
      <w:r w:rsidRPr="00E04CE0">
        <w:rPr>
          <w:b/>
          <w:szCs w:val="28"/>
        </w:rPr>
        <w:t>2.2. Материалы исследования</w:t>
      </w:r>
    </w:p>
    <w:bookmarkEnd w:id="3"/>
    <w:p w:rsidR="00057EB9" w:rsidRDefault="00057EB9" w:rsidP="00057EB9">
      <w:pPr>
        <w:ind w:firstLine="708"/>
      </w:pPr>
      <w:r w:rsidRPr="005565E8">
        <w:rPr>
          <w:rFonts w:cs="Times New Roman"/>
          <w:szCs w:val="28"/>
        </w:rPr>
        <w:t xml:space="preserve">В </w:t>
      </w:r>
      <w:r>
        <w:rPr>
          <w:rFonts w:cs="Times New Roman"/>
          <w:szCs w:val="28"/>
        </w:rPr>
        <w:t xml:space="preserve">исследовании в </w:t>
      </w:r>
      <w:r w:rsidRPr="005565E8">
        <w:rPr>
          <w:rFonts w:cs="Times New Roman"/>
          <w:szCs w:val="28"/>
        </w:rPr>
        <w:t xml:space="preserve">качестве тест-системы для экспериментальных испытаний </w:t>
      </w:r>
      <w:r>
        <w:rPr>
          <w:rFonts w:cs="Times New Roman"/>
          <w:szCs w:val="28"/>
        </w:rPr>
        <w:t xml:space="preserve">были </w:t>
      </w:r>
      <w:r w:rsidRPr="005565E8">
        <w:rPr>
          <w:rFonts w:cs="Times New Roman"/>
          <w:szCs w:val="28"/>
        </w:rPr>
        <w:t>использова</w:t>
      </w:r>
      <w:r>
        <w:rPr>
          <w:rFonts w:cs="Times New Roman"/>
          <w:szCs w:val="28"/>
        </w:rPr>
        <w:t xml:space="preserve">ны 6 свиней. Обоснованием к использованию в работе именно этого вида животных был тот факт, что </w:t>
      </w:r>
      <w:r w:rsidRPr="005565E8">
        <w:rPr>
          <w:rFonts w:cs="Times New Roman"/>
          <w:szCs w:val="28"/>
        </w:rPr>
        <w:t xml:space="preserve"> </w:t>
      </w:r>
      <w:r>
        <w:t>с</w:t>
      </w:r>
      <w:r w:rsidRPr="004309B9">
        <w:t xml:space="preserve">виньи являются наиболее оптимальным объектом для исследования. Возможность использования свиньи в качестве адекватного модельного объекта в медико-биологических экспериментах </w:t>
      </w:r>
      <w:r>
        <w:t>связана подобием ряда</w:t>
      </w:r>
      <w:r w:rsidRPr="004309B9">
        <w:t xml:space="preserve"> анатомо-физиологических характеристик и биологических свойств</w:t>
      </w:r>
      <w:r>
        <w:t xml:space="preserve"> организма свиньи и человека</w:t>
      </w:r>
      <w:r w:rsidRPr="004309B9">
        <w:t xml:space="preserve">. </w:t>
      </w:r>
      <w:r>
        <w:t>Так, отмечается с</w:t>
      </w:r>
      <w:r w:rsidRPr="004309B9">
        <w:t xml:space="preserve">ходство морфологии и </w:t>
      </w:r>
      <w:r>
        <w:t xml:space="preserve">особенностей </w:t>
      </w:r>
      <w:r w:rsidRPr="004309B9">
        <w:t>функционировани</w:t>
      </w:r>
      <w:r>
        <w:t>я практически всех</w:t>
      </w:r>
      <w:r w:rsidRPr="004309B9">
        <w:t xml:space="preserve"> внутренних органов и систем, в частности </w:t>
      </w:r>
      <w:proofErr w:type="gramStart"/>
      <w:r w:rsidRPr="004309B9">
        <w:t>сердечно-сосудистой</w:t>
      </w:r>
      <w:proofErr w:type="gramEnd"/>
      <w:r w:rsidRPr="004309B9">
        <w:t xml:space="preserve">, пищеварительной, выделительной, эндокринной и нервной, включая мозг и органы чувств, </w:t>
      </w:r>
      <w:r>
        <w:t>особенности протекания</w:t>
      </w:r>
      <w:r w:rsidRPr="004309B9">
        <w:t xml:space="preserve"> метаболических процессов и др. </w:t>
      </w:r>
    </w:p>
    <w:p w:rsidR="00057EB9" w:rsidRDefault="00057EB9" w:rsidP="00057EB9">
      <w:pPr>
        <w:ind w:firstLine="708"/>
      </w:pPr>
      <w:r>
        <w:t xml:space="preserve">Применительно к данному исследованию, особенный интерес представляет сходство </w:t>
      </w:r>
      <w:proofErr w:type="gramStart"/>
      <w:r>
        <w:t>сердечно-сосудистой</w:t>
      </w:r>
      <w:proofErr w:type="gramEnd"/>
      <w:r>
        <w:t xml:space="preserve"> системы свиньи и человека. </w:t>
      </w:r>
      <w:r w:rsidRPr="00132FA1">
        <w:t xml:space="preserve"> </w:t>
      </w:r>
      <w:r>
        <w:t>В частности, в с</w:t>
      </w:r>
      <w:r w:rsidRPr="00132FA1">
        <w:t xml:space="preserve">ердце свиньи, как </w:t>
      </w:r>
      <w:r>
        <w:t>у</w:t>
      </w:r>
      <w:r w:rsidRPr="00132FA1">
        <w:t xml:space="preserve"> человека, хорошо различимы верхушка</w:t>
      </w:r>
      <w:r>
        <w:t xml:space="preserve"> </w:t>
      </w:r>
      <w:r w:rsidRPr="00132FA1">
        <w:t>и основание, желудочки имеют коническую форму</w:t>
      </w:r>
      <w:r>
        <w:t xml:space="preserve">. Кроме того, </w:t>
      </w:r>
      <w:r w:rsidRPr="00132FA1">
        <w:t xml:space="preserve"> размеры сердца свиньи</w:t>
      </w:r>
      <w:r>
        <w:t xml:space="preserve"> </w:t>
      </w:r>
      <w:r w:rsidRPr="00132FA1">
        <w:t xml:space="preserve">сопоставимы с размерами сердца человека. </w:t>
      </w:r>
      <w:r w:rsidRPr="00274DB9">
        <w:t>Как и у человека, каждое предсердие свиней имеет венозный</w:t>
      </w:r>
      <w:r>
        <w:t xml:space="preserve"> </w:t>
      </w:r>
      <w:r w:rsidRPr="00274DB9">
        <w:t>компонент, ушко и преддверие атриовентрикулярного клапана, предсердия</w:t>
      </w:r>
      <w:r>
        <w:t xml:space="preserve"> </w:t>
      </w:r>
      <w:r w:rsidRPr="00274DB9">
        <w:t xml:space="preserve">отделены друг от друга </w:t>
      </w:r>
      <w:r w:rsidRPr="00274DB9">
        <w:lastRenderedPageBreak/>
        <w:t>межпредсердной перегородкой. В правое предсердие,</w:t>
      </w:r>
      <w:r>
        <w:t xml:space="preserve"> </w:t>
      </w:r>
      <w:r w:rsidRPr="00274DB9">
        <w:t>как и у человека, впадают верхняя и нижняя полые вены и коронарный синус.</w:t>
      </w:r>
      <w:r>
        <w:t xml:space="preserve"> Однако</w:t>
      </w:r>
      <w:proofErr w:type="gramStart"/>
      <w:r>
        <w:t>,</w:t>
      </w:r>
      <w:proofErr w:type="gramEnd"/>
      <w:r>
        <w:t xml:space="preserve"> у свиньи имеется и ряд особенностей</w:t>
      </w:r>
      <w:r w:rsidRPr="00132FA1">
        <w:t xml:space="preserve"> строения сердца</w:t>
      </w:r>
      <w:r>
        <w:t>, к которым</w:t>
      </w:r>
      <w:r w:rsidRPr="00132FA1">
        <w:t xml:space="preserve"> относятся: наличие левой непарной вены, </w:t>
      </w:r>
      <w:r>
        <w:t>с</w:t>
      </w:r>
      <w:r w:rsidRPr="00132FA1">
        <w:t>клонность к дроблению</w:t>
      </w:r>
      <w:r>
        <w:t xml:space="preserve"> </w:t>
      </w:r>
      <w:r w:rsidRPr="00132FA1">
        <w:t>створок правого предсердно-желудочкового клапана, а также сосочковых</w:t>
      </w:r>
      <w:r>
        <w:t xml:space="preserve"> </w:t>
      </w:r>
      <w:r w:rsidRPr="00132FA1">
        <w:t>мышц</w:t>
      </w:r>
      <w:r>
        <w:t>;</w:t>
      </w:r>
      <w:r w:rsidRPr="00132FA1">
        <w:t xml:space="preserve"> вогнутость створок клапана легочной артерии, сравнительно</w:t>
      </w:r>
      <w:r>
        <w:t xml:space="preserve"> </w:t>
      </w:r>
      <w:r w:rsidRPr="00132FA1">
        <w:t>небольшой, высоко заканчивающийся правый желудочек.</w:t>
      </w:r>
      <w:r>
        <w:t xml:space="preserve"> </w:t>
      </w:r>
      <w:r w:rsidRPr="00274DB9">
        <w:t>В левое предсердие у свиней впадает две легочные вены, в то время как у</w:t>
      </w:r>
      <w:r>
        <w:t xml:space="preserve"> </w:t>
      </w:r>
      <w:r w:rsidRPr="00274DB9">
        <w:t>человека, как правило, четыре. Размеры предсердий у свиней и их ушек</w:t>
      </w:r>
      <w:r>
        <w:t xml:space="preserve"> </w:t>
      </w:r>
      <w:r w:rsidRPr="00274DB9">
        <w:t>практически одинаковые, в то время как в человеческом сердце, размеры</w:t>
      </w:r>
      <w:r>
        <w:t xml:space="preserve"> </w:t>
      </w:r>
      <w:r w:rsidRPr="00274DB9">
        <w:t>правого предсердия и его ушка заметно больше левого.</w:t>
      </w:r>
      <w:r>
        <w:t xml:space="preserve"> </w:t>
      </w:r>
      <w:r w:rsidRPr="00274DB9">
        <w:t>Взаиморасположение легочного ствола и аорты одинаково в обоих сердцах</w:t>
      </w:r>
      <w:r>
        <w:t xml:space="preserve"> </w:t>
      </w:r>
      <w:r w:rsidRPr="00274DB9">
        <w:t xml:space="preserve">(рис. </w:t>
      </w:r>
      <w:r>
        <w:t>1).</w:t>
      </w:r>
    </w:p>
    <w:p w:rsidR="00057EB9" w:rsidRDefault="00057EB9" w:rsidP="00057EB9">
      <w:pPr>
        <w:keepNext/>
        <w:tabs>
          <w:tab w:val="left" w:pos="1140"/>
        </w:tabs>
        <w:jc w:val="center"/>
      </w:pPr>
      <w:r w:rsidRPr="00A761FD">
        <w:rPr>
          <w:noProof/>
          <w:sz w:val="24"/>
          <w:szCs w:val="24"/>
          <w:lang w:eastAsia="ru-RU"/>
        </w:rPr>
        <w:drawing>
          <wp:inline distT="0" distB="0" distL="0" distR="0">
            <wp:extent cx="2857500" cy="1847850"/>
            <wp:effectExtent l="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17" b="50510"/>
                    <a:stretch>
                      <a:fillRect/>
                    </a:stretch>
                  </pic:blipFill>
                  <pic:spPr bwMode="auto">
                    <a:xfrm>
                      <a:off x="0" y="0"/>
                      <a:ext cx="2857500" cy="1847850"/>
                    </a:xfrm>
                    <a:prstGeom prst="rect">
                      <a:avLst/>
                    </a:prstGeom>
                    <a:noFill/>
                    <a:ln>
                      <a:noFill/>
                    </a:ln>
                  </pic:spPr>
                </pic:pic>
              </a:graphicData>
            </a:graphic>
          </wp:inline>
        </w:drawing>
      </w:r>
      <w:r w:rsidRPr="00A761FD">
        <w:rPr>
          <w:noProof/>
          <w:sz w:val="24"/>
          <w:szCs w:val="24"/>
          <w:lang w:eastAsia="ru-RU"/>
        </w:rPr>
        <w:drawing>
          <wp:inline distT="0" distB="0" distL="0" distR="0">
            <wp:extent cx="2819400" cy="184785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1277"/>
                    <a:stretch>
                      <a:fillRect/>
                    </a:stretch>
                  </pic:blipFill>
                  <pic:spPr bwMode="auto">
                    <a:xfrm>
                      <a:off x="0" y="0"/>
                      <a:ext cx="2819400" cy="1847850"/>
                    </a:xfrm>
                    <a:prstGeom prst="rect">
                      <a:avLst/>
                    </a:prstGeom>
                    <a:noFill/>
                    <a:ln>
                      <a:noFill/>
                    </a:ln>
                  </pic:spPr>
                </pic:pic>
              </a:graphicData>
            </a:graphic>
          </wp:inline>
        </w:drawing>
      </w:r>
    </w:p>
    <w:p w:rsidR="00057EB9" w:rsidRDefault="00057EB9" w:rsidP="00057EB9">
      <w:pPr>
        <w:jc w:val="center"/>
        <w:rPr>
          <w:rFonts w:cs="Times New Roman"/>
          <w:szCs w:val="28"/>
        </w:rPr>
      </w:pPr>
      <w:r w:rsidRPr="005565E8">
        <w:rPr>
          <w:rFonts w:cs="Times New Roman"/>
          <w:szCs w:val="28"/>
        </w:rPr>
        <w:t>Рис</w:t>
      </w:r>
      <w:r>
        <w:rPr>
          <w:rFonts w:cs="Times New Roman"/>
          <w:szCs w:val="28"/>
        </w:rPr>
        <w:t>.</w:t>
      </w:r>
      <w:r w:rsidRPr="005565E8">
        <w:rPr>
          <w:rFonts w:cs="Times New Roman"/>
          <w:szCs w:val="28"/>
        </w:rPr>
        <w:t xml:space="preserve"> </w:t>
      </w:r>
      <w:r>
        <w:rPr>
          <w:rFonts w:cs="Times New Roman"/>
          <w:szCs w:val="28"/>
        </w:rPr>
        <w:t>1</w:t>
      </w:r>
      <w:r w:rsidRPr="005565E8">
        <w:rPr>
          <w:rFonts w:cs="Times New Roman"/>
          <w:szCs w:val="28"/>
        </w:rPr>
        <w:t>. Внешний вид базальной поверхности макроскопических препаратов сердца свиньи (A) и человека (B)</w:t>
      </w:r>
    </w:p>
    <w:p w:rsidR="00057EB9" w:rsidRDefault="00057EB9" w:rsidP="00057EB9">
      <w:pPr>
        <w:rPr>
          <w:rFonts w:cs="Times New Roman"/>
          <w:sz w:val="24"/>
          <w:szCs w:val="24"/>
        </w:rPr>
      </w:pPr>
      <w:r w:rsidRPr="009D6E34">
        <w:rPr>
          <w:rFonts w:cs="Times New Roman"/>
          <w:sz w:val="24"/>
          <w:szCs w:val="24"/>
        </w:rPr>
        <w:t xml:space="preserve"> Примечания: RAA – ушко правого предсердия, LAA – ушко левого предсердия, SCV – верхняя полая вена, PT – легочный ствол (</w:t>
      </w:r>
      <w:r w:rsidRPr="009D6E34">
        <w:rPr>
          <w:rFonts w:cs="Times New Roman"/>
          <w:sz w:val="24"/>
          <w:szCs w:val="24"/>
          <w:lang w:val="en-US"/>
        </w:rPr>
        <w:t>Crick</w:t>
      </w:r>
      <w:r w:rsidRPr="009D6E34">
        <w:rPr>
          <w:rFonts w:cs="Times New Roman"/>
          <w:sz w:val="24"/>
          <w:szCs w:val="24"/>
        </w:rPr>
        <w:t xml:space="preserve"> </w:t>
      </w:r>
      <w:r w:rsidRPr="009D6E34">
        <w:rPr>
          <w:rFonts w:cs="Times New Roman"/>
          <w:sz w:val="24"/>
          <w:szCs w:val="24"/>
          <w:lang w:val="en-US"/>
        </w:rPr>
        <w:t>S</w:t>
      </w:r>
      <w:r w:rsidRPr="009D6E34">
        <w:rPr>
          <w:rFonts w:cs="Times New Roman"/>
          <w:sz w:val="24"/>
          <w:szCs w:val="24"/>
        </w:rPr>
        <w:t>.</w:t>
      </w:r>
      <w:r w:rsidRPr="009D6E34">
        <w:rPr>
          <w:rFonts w:cs="Times New Roman"/>
          <w:sz w:val="24"/>
          <w:szCs w:val="24"/>
          <w:lang w:val="en-US"/>
        </w:rPr>
        <w:t>J</w:t>
      </w:r>
      <w:r w:rsidRPr="009D6E34">
        <w:rPr>
          <w:rFonts w:cs="Times New Roman"/>
          <w:sz w:val="24"/>
          <w:szCs w:val="24"/>
        </w:rPr>
        <w:t xml:space="preserve">., </w:t>
      </w:r>
      <w:r w:rsidRPr="009D6E34">
        <w:rPr>
          <w:rFonts w:cs="Times New Roman"/>
          <w:sz w:val="24"/>
          <w:szCs w:val="24"/>
          <w:lang w:val="en-US"/>
        </w:rPr>
        <w:t>Sheppard</w:t>
      </w:r>
      <w:r w:rsidRPr="009D6E34">
        <w:rPr>
          <w:rFonts w:cs="Times New Roman"/>
          <w:sz w:val="24"/>
          <w:szCs w:val="24"/>
        </w:rPr>
        <w:t xml:space="preserve"> </w:t>
      </w:r>
      <w:r w:rsidRPr="009D6E34">
        <w:rPr>
          <w:rFonts w:cs="Times New Roman"/>
          <w:sz w:val="24"/>
          <w:szCs w:val="24"/>
          <w:lang w:val="en-US"/>
        </w:rPr>
        <w:t>M</w:t>
      </w:r>
      <w:r w:rsidRPr="009D6E34">
        <w:rPr>
          <w:rFonts w:cs="Times New Roman"/>
          <w:sz w:val="24"/>
          <w:szCs w:val="24"/>
        </w:rPr>
        <w:t>.</w:t>
      </w:r>
      <w:r w:rsidRPr="009D6E34">
        <w:rPr>
          <w:rFonts w:cs="Times New Roman"/>
          <w:sz w:val="24"/>
          <w:szCs w:val="24"/>
          <w:lang w:val="en-US"/>
        </w:rPr>
        <w:t>N</w:t>
      </w:r>
      <w:r w:rsidRPr="009D6E34">
        <w:rPr>
          <w:rFonts w:cs="Times New Roman"/>
          <w:sz w:val="24"/>
          <w:szCs w:val="24"/>
        </w:rPr>
        <w:t xml:space="preserve">., </w:t>
      </w:r>
      <w:r w:rsidRPr="009D6E34">
        <w:rPr>
          <w:rFonts w:cs="Times New Roman"/>
          <w:sz w:val="24"/>
          <w:szCs w:val="24"/>
          <w:lang w:val="en-US"/>
        </w:rPr>
        <w:t>et</w:t>
      </w:r>
      <w:r w:rsidRPr="009D6E34">
        <w:rPr>
          <w:rFonts w:cs="Times New Roman"/>
          <w:sz w:val="24"/>
          <w:szCs w:val="24"/>
        </w:rPr>
        <w:t xml:space="preserve"> </w:t>
      </w:r>
      <w:r w:rsidRPr="009D6E34">
        <w:rPr>
          <w:rFonts w:cs="Times New Roman"/>
          <w:sz w:val="24"/>
          <w:szCs w:val="24"/>
          <w:lang w:val="en-US"/>
        </w:rPr>
        <w:t>al</w:t>
      </w:r>
      <w:r>
        <w:rPr>
          <w:rFonts w:cs="Times New Roman"/>
          <w:sz w:val="24"/>
          <w:szCs w:val="24"/>
        </w:rPr>
        <w:t>.,</w:t>
      </w:r>
      <w:r w:rsidRPr="009D6E34">
        <w:rPr>
          <w:rFonts w:cs="Times New Roman"/>
          <w:sz w:val="24"/>
          <w:szCs w:val="24"/>
        </w:rPr>
        <w:t xml:space="preserve">1998) </w:t>
      </w:r>
    </w:p>
    <w:p w:rsidR="00057EB9" w:rsidRPr="005565E8" w:rsidRDefault="00057EB9" w:rsidP="00057EB9">
      <w:pPr>
        <w:ind w:firstLine="708"/>
        <w:rPr>
          <w:rFonts w:cs="Times New Roman"/>
          <w:szCs w:val="28"/>
        </w:rPr>
      </w:pPr>
      <w:r>
        <w:rPr>
          <w:rFonts w:cs="Times New Roman"/>
          <w:szCs w:val="28"/>
        </w:rPr>
        <w:t>Еще одним доводом в пользу использования свиней в качестве экспериментальных животных в поведенном исследовании было</w:t>
      </w:r>
      <w:r w:rsidRPr="005565E8">
        <w:rPr>
          <w:rFonts w:cs="Times New Roman"/>
          <w:szCs w:val="28"/>
        </w:rPr>
        <w:t xml:space="preserve"> совпадени</w:t>
      </w:r>
      <w:r>
        <w:rPr>
          <w:rFonts w:cs="Times New Roman"/>
          <w:szCs w:val="28"/>
        </w:rPr>
        <w:t>е</w:t>
      </w:r>
      <w:r w:rsidRPr="005565E8">
        <w:rPr>
          <w:rFonts w:cs="Times New Roman"/>
          <w:szCs w:val="28"/>
        </w:rPr>
        <w:t xml:space="preserve"> гематологических показателей свиньи и человека. Данный фактор был важен для оценки реакции организма экспериментального животного на имплантацию медицинского изделия. По литературным данным</w:t>
      </w:r>
      <w:r>
        <w:rPr>
          <w:rFonts w:cs="Times New Roman"/>
          <w:szCs w:val="28"/>
        </w:rPr>
        <w:t>,</w:t>
      </w:r>
      <w:r w:rsidRPr="005565E8">
        <w:rPr>
          <w:rFonts w:cs="Times New Roman"/>
          <w:szCs w:val="28"/>
        </w:rPr>
        <w:t xml:space="preserve"> расхождение норм показателей общего, биохимического анализов и коагулограммы крови у свиньи и человека </w:t>
      </w:r>
      <w:r>
        <w:rPr>
          <w:rFonts w:cs="Times New Roman"/>
          <w:szCs w:val="28"/>
        </w:rPr>
        <w:t>не превышает 15</w:t>
      </w:r>
      <w:r w:rsidRPr="005565E8">
        <w:rPr>
          <w:rFonts w:cs="Times New Roman"/>
          <w:szCs w:val="28"/>
        </w:rPr>
        <w:t>%.</w:t>
      </w:r>
    </w:p>
    <w:p w:rsidR="00057EB9" w:rsidRPr="005565E8" w:rsidRDefault="00057EB9" w:rsidP="00057EB9">
      <w:pPr>
        <w:ind w:firstLine="708"/>
        <w:rPr>
          <w:rFonts w:cs="Times New Roman"/>
          <w:szCs w:val="28"/>
        </w:rPr>
      </w:pPr>
      <w:r>
        <w:rPr>
          <w:rFonts w:cs="Times New Roman"/>
          <w:szCs w:val="28"/>
        </w:rPr>
        <w:lastRenderedPageBreak/>
        <w:t>Следовательно, п</w:t>
      </w:r>
      <w:r w:rsidRPr="005565E8">
        <w:rPr>
          <w:rFonts w:cs="Times New Roman"/>
          <w:szCs w:val="28"/>
        </w:rPr>
        <w:t xml:space="preserve">о совокупности </w:t>
      </w:r>
      <w:r>
        <w:rPr>
          <w:rFonts w:cs="Times New Roman"/>
          <w:szCs w:val="28"/>
        </w:rPr>
        <w:t xml:space="preserve">вышеприведенных </w:t>
      </w:r>
      <w:r w:rsidRPr="005565E8">
        <w:rPr>
          <w:rFonts w:cs="Times New Roman"/>
          <w:szCs w:val="28"/>
        </w:rPr>
        <w:t>данных</w:t>
      </w:r>
      <w:r>
        <w:rPr>
          <w:rFonts w:cs="Times New Roman"/>
          <w:szCs w:val="28"/>
        </w:rPr>
        <w:t>,</w:t>
      </w:r>
      <w:r w:rsidRPr="005565E8">
        <w:rPr>
          <w:rFonts w:cs="Times New Roman"/>
          <w:szCs w:val="28"/>
        </w:rPr>
        <w:t xml:space="preserve"> использование свиньи в качестве экспериментального животного </w:t>
      </w:r>
      <w:r>
        <w:rPr>
          <w:rFonts w:cs="Times New Roman"/>
          <w:szCs w:val="28"/>
        </w:rPr>
        <w:t xml:space="preserve">для оценки реакции на имплантацию клапанов сердца </w:t>
      </w:r>
      <w:r w:rsidRPr="005565E8">
        <w:rPr>
          <w:rFonts w:cs="Times New Roman"/>
          <w:szCs w:val="28"/>
        </w:rPr>
        <w:t>является обоснованным и рациональным. Количество животных</w:t>
      </w:r>
      <w:r>
        <w:rPr>
          <w:rFonts w:cs="Times New Roman"/>
          <w:szCs w:val="28"/>
        </w:rPr>
        <w:t xml:space="preserve"> (6)</w:t>
      </w:r>
      <w:r w:rsidRPr="005565E8">
        <w:rPr>
          <w:rFonts w:cs="Times New Roman"/>
          <w:szCs w:val="28"/>
        </w:rPr>
        <w:t>, использ</w:t>
      </w:r>
      <w:r>
        <w:rPr>
          <w:rFonts w:cs="Times New Roman"/>
          <w:szCs w:val="28"/>
        </w:rPr>
        <w:t>ованных</w:t>
      </w:r>
      <w:r w:rsidRPr="005565E8">
        <w:rPr>
          <w:rFonts w:cs="Times New Roman"/>
          <w:szCs w:val="28"/>
        </w:rPr>
        <w:t xml:space="preserve"> в исследовании, достаточно для полной регистрации изучаемых эффектов.</w:t>
      </w:r>
    </w:p>
    <w:p w:rsidR="00057EB9" w:rsidRPr="005565E8" w:rsidRDefault="00057EB9" w:rsidP="00057EB9">
      <w:pPr>
        <w:ind w:firstLine="708"/>
        <w:rPr>
          <w:rFonts w:cs="Times New Roman"/>
          <w:szCs w:val="28"/>
        </w:rPr>
      </w:pPr>
      <w:proofErr w:type="gramStart"/>
      <w:r>
        <w:rPr>
          <w:rFonts w:cs="Times New Roman"/>
          <w:szCs w:val="28"/>
        </w:rPr>
        <w:t xml:space="preserve">В работе были использованы </w:t>
      </w:r>
      <w:r w:rsidRPr="005565E8">
        <w:rPr>
          <w:rFonts w:cs="Times New Roman"/>
          <w:szCs w:val="28"/>
        </w:rPr>
        <w:t>самц</w:t>
      </w:r>
      <w:r>
        <w:rPr>
          <w:rFonts w:cs="Times New Roman"/>
          <w:szCs w:val="28"/>
        </w:rPr>
        <w:t>ы</w:t>
      </w:r>
      <w:r w:rsidRPr="005565E8">
        <w:rPr>
          <w:rFonts w:cs="Times New Roman"/>
          <w:szCs w:val="28"/>
        </w:rPr>
        <w:t xml:space="preserve"> свиней породы СМ-1 (поставщик:</w:t>
      </w:r>
      <w:proofErr w:type="gramEnd"/>
      <w:r w:rsidRPr="005565E8">
        <w:rPr>
          <w:rFonts w:cs="Times New Roman"/>
          <w:szCs w:val="28"/>
        </w:rPr>
        <w:t xml:space="preserve">   </w:t>
      </w:r>
      <w:proofErr w:type="gramStart"/>
      <w:r w:rsidRPr="005565E8">
        <w:rPr>
          <w:rFonts w:cs="Times New Roman"/>
          <w:szCs w:val="28"/>
        </w:rPr>
        <w:t>«Тулинское», пос. Тулинский, Новосибирская область, Россия).</w:t>
      </w:r>
      <w:proofErr w:type="gramEnd"/>
      <w:r w:rsidRPr="005565E8">
        <w:rPr>
          <w:rFonts w:cs="Times New Roman"/>
          <w:szCs w:val="28"/>
        </w:rPr>
        <w:t xml:space="preserve"> О</w:t>
      </w:r>
      <w:r>
        <w:rPr>
          <w:rFonts w:cs="Times New Roman"/>
          <w:szCs w:val="28"/>
        </w:rPr>
        <w:t>сновные характеристики экспериментальных животных</w:t>
      </w:r>
      <w:r w:rsidRPr="005565E8">
        <w:rPr>
          <w:rFonts w:cs="Times New Roman"/>
          <w:szCs w:val="28"/>
        </w:rPr>
        <w:t xml:space="preserve"> приведен</w:t>
      </w:r>
      <w:r>
        <w:rPr>
          <w:rFonts w:cs="Times New Roman"/>
          <w:szCs w:val="28"/>
        </w:rPr>
        <w:t>ы</w:t>
      </w:r>
      <w:r w:rsidRPr="005565E8">
        <w:rPr>
          <w:rFonts w:cs="Times New Roman"/>
          <w:szCs w:val="28"/>
        </w:rPr>
        <w:t xml:space="preserve"> в табл</w:t>
      </w:r>
      <w:r>
        <w:rPr>
          <w:rFonts w:cs="Times New Roman"/>
          <w:szCs w:val="28"/>
        </w:rPr>
        <w:t xml:space="preserve">ице </w:t>
      </w:r>
      <w:r w:rsidRPr="005565E8">
        <w:rPr>
          <w:rFonts w:cs="Times New Roman"/>
          <w:szCs w:val="28"/>
        </w:rPr>
        <w:t xml:space="preserve"> </w:t>
      </w:r>
      <w:r>
        <w:rPr>
          <w:rFonts w:cs="Times New Roman"/>
          <w:szCs w:val="28"/>
        </w:rPr>
        <w:t>3</w:t>
      </w:r>
      <w:r w:rsidRPr="005565E8">
        <w:rPr>
          <w:rFonts w:cs="Times New Roman"/>
          <w:szCs w:val="28"/>
        </w:rPr>
        <w:t xml:space="preserve">. </w:t>
      </w:r>
    </w:p>
    <w:p w:rsidR="00057EB9" w:rsidRPr="005565E8" w:rsidRDefault="00057EB9" w:rsidP="00057EB9">
      <w:pPr>
        <w:jc w:val="right"/>
        <w:rPr>
          <w:rFonts w:eastAsia="Calibri" w:cs="Times New Roman"/>
          <w:iCs/>
          <w:szCs w:val="28"/>
        </w:rPr>
      </w:pPr>
      <w:r w:rsidRPr="005565E8">
        <w:rPr>
          <w:rFonts w:eastAsia="Calibri" w:cs="Times New Roman"/>
          <w:iCs/>
          <w:szCs w:val="28"/>
        </w:rPr>
        <w:t xml:space="preserve">Таблица </w:t>
      </w:r>
      <w:r>
        <w:rPr>
          <w:rFonts w:eastAsia="Calibri" w:cs="Times New Roman"/>
          <w:iCs/>
          <w:szCs w:val="28"/>
        </w:rPr>
        <w:t>3</w:t>
      </w:r>
    </w:p>
    <w:p w:rsidR="00057EB9" w:rsidRPr="005565E8" w:rsidRDefault="00057EB9" w:rsidP="00057EB9">
      <w:pPr>
        <w:jc w:val="center"/>
        <w:rPr>
          <w:rFonts w:eastAsia="Calibri" w:cs="Times New Roman"/>
          <w:iCs/>
          <w:szCs w:val="28"/>
        </w:rPr>
      </w:pPr>
      <w:r>
        <w:rPr>
          <w:rFonts w:eastAsia="Calibri" w:cs="Times New Roman"/>
          <w:iCs/>
          <w:szCs w:val="28"/>
        </w:rPr>
        <w:t>Основные характеристики э</w:t>
      </w:r>
      <w:r w:rsidRPr="005565E8">
        <w:rPr>
          <w:rFonts w:eastAsia="Calibri" w:cs="Times New Roman"/>
          <w:iCs/>
          <w:szCs w:val="28"/>
        </w:rPr>
        <w:t>кспериментальны</w:t>
      </w:r>
      <w:r>
        <w:rPr>
          <w:rFonts w:eastAsia="Calibri" w:cs="Times New Roman"/>
          <w:iCs/>
          <w:szCs w:val="28"/>
        </w:rPr>
        <w:t>х</w:t>
      </w:r>
      <w:r w:rsidRPr="005565E8">
        <w:rPr>
          <w:rFonts w:eastAsia="Calibri" w:cs="Times New Roman"/>
          <w:iCs/>
          <w:szCs w:val="28"/>
        </w:rPr>
        <w:t xml:space="preserve"> животны</w:t>
      </w:r>
      <w:r>
        <w:rPr>
          <w:rFonts w:eastAsia="Calibri" w:cs="Times New Roman"/>
          <w:iCs/>
          <w:szCs w:val="28"/>
        </w:rPr>
        <w:t>х</w:t>
      </w:r>
    </w:p>
    <w:tbl>
      <w:tblPr>
        <w:tblW w:w="8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74"/>
        <w:gridCol w:w="3315"/>
      </w:tblGrid>
      <w:tr w:rsidR="00057EB9" w:rsidRPr="005565E8" w:rsidTr="00057EB9">
        <w:trPr>
          <w:trHeight w:val="510"/>
          <w:jc w:val="center"/>
        </w:trPr>
        <w:tc>
          <w:tcPr>
            <w:tcW w:w="5374" w:type="dxa"/>
            <w:shd w:val="clear" w:color="auto" w:fill="auto"/>
            <w:vAlign w:val="center"/>
          </w:tcPr>
          <w:p w:rsidR="00057EB9" w:rsidRPr="005565E8" w:rsidRDefault="00057EB9" w:rsidP="00057EB9">
            <w:pPr>
              <w:jc w:val="center"/>
              <w:rPr>
                <w:rFonts w:cs="Times New Roman"/>
                <w:szCs w:val="28"/>
              </w:rPr>
            </w:pPr>
            <w:r>
              <w:rPr>
                <w:rFonts w:cs="Times New Roman"/>
                <w:szCs w:val="28"/>
              </w:rPr>
              <w:t>Характеристика</w:t>
            </w:r>
          </w:p>
        </w:tc>
        <w:tc>
          <w:tcPr>
            <w:tcW w:w="3315" w:type="dxa"/>
            <w:shd w:val="clear" w:color="auto" w:fill="auto"/>
            <w:vAlign w:val="center"/>
          </w:tcPr>
          <w:p w:rsidR="00057EB9" w:rsidRPr="005565E8" w:rsidRDefault="00057EB9" w:rsidP="00057EB9">
            <w:pPr>
              <w:jc w:val="center"/>
              <w:rPr>
                <w:rFonts w:cs="Times New Roman"/>
                <w:szCs w:val="28"/>
              </w:rPr>
            </w:pPr>
            <w:r>
              <w:rPr>
                <w:rFonts w:cs="Times New Roman"/>
                <w:szCs w:val="28"/>
              </w:rPr>
              <w:t>Описание</w:t>
            </w:r>
          </w:p>
        </w:tc>
      </w:tr>
      <w:tr w:rsidR="00057EB9" w:rsidRPr="005565E8" w:rsidTr="00057EB9">
        <w:trPr>
          <w:trHeight w:val="510"/>
          <w:jc w:val="center"/>
        </w:trPr>
        <w:tc>
          <w:tcPr>
            <w:tcW w:w="5374" w:type="dxa"/>
            <w:shd w:val="clear" w:color="auto" w:fill="auto"/>
            <w:vAlign w:val="center"/>
          </w:tcPr>
          <w:p w:rsidR="00057EB9" w:rsidRPr="005565E8" w:rsidRDefault="00057EB9" w:rsidP="00057EB9">
            <w:pPr>
              <w:rPr>
                <w:rFonts w:cs="Times New Roman"/>
                <w:szCs w:val="28"/>
              </w:rPr>
            </w:pPr>
            <w:r w:rsidRPr="005565E8">
              <w:rPr>
                <w:rFonts w:cs="Times New Roman"/>
                <w:szCs w:val="28"/>
              </w:rPr>
              <w:t>Вид</w:t>
            </w:r>
          </w:p>
        </w:tc>
        <w:tc>
          <w:tcPr>
            <w:tcW w:w="3315"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Sus scrofa</w:t>
            </w:r>
          </w:p>
        </w:tc>
      </w:tr>
      <w:tr w:rsidR="00057EB9" w:rsidRPr="005565E8" w:rsidTr="00057EB9">
        <w:trPr>
          <w:trHeight w:val="510"/>
          <w:jc w:val="center"/>
        </w:trPr>
        <w:tc>
          <w:tcPr>
            <w:tcW w:w="5374" w:type="dxa"/>
            <w:shd w:val="clear" w:color="auto" w:fill="auto"/>
            <w:vAlign w:val="center"/>
          </w:tcPr>
          <w:p w:rsidR="00057EB9" w:rsidRPr="005565E8" w:rsidRDefault="00057EB9" w:rsidP="00057EB9">
            <w:pPr>
              <w:rPr>
                <w:rFonts w:cs="Times New Roman"/>
                <w:szCs w:val="28"/>
              </w:rPr>
            </w:pPr>
            <w:r w:rsidRPr="005565E8">
              <w:rPr>
                <w:rFonts w:cs="Times New Roman"/>
                <w:szCs w:val="28"/>
              </w:rPr>
              <w:t>Сток</w:t>
            </w:r>
          </w:p>
        </w:tc>
        <w:tc>
          <w:tcPr>
            <w:tcW w:w="3315"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СМ-1</w:t>
            </w:r>
          </w:p>
        </w:tc>
      </w:tr>
      <w:tr w:rsidR="00057EB9" w:rsidRPr="005565E8" w:rsidTr="00057EB9">
        <w:trPr>
          <w:trHeight w:val="510"/>
          <w:jc w:val="center"/>
        </w:trPr>
        <w:tc>
          <w:tcPr>
            <w:tcW w:w="5374" w:type="dxa"/>
            <w:shd w:val="clear" w:color="auto" w:fill="auto"/>
            <w:vAlign w:val="center"/>
          </w:tcPr>
          <w:p w:rsidR="00057EB9" w:rsidRPr="005565E8" w:rsidRDefault="00057EB9" w:rsidP="00057EB9">
            <w:pPr>
              <w:rPr>
                <w:rFonts w:cs="Times New Roman"/>
                <w:szCs w:val="28"/>
              </w:rPr>
            </w:pPr>
            <w:r w:rsidRPr="005565E8">
              <w:rPr>
                <w:rFonts w:cs="Times New Roman"/>
                <w:szCs w:val="28"/>
              </w:rPr>
              <w:t>Пол</w:t>
            </w:r>
          </w:p>
        </w:tc>
        <w:tc>
          <w:tcPr>
            <w:tcW w:w="3315"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Самцы</w:t>
            </w:r>
          </w:p>
        </w:tc>
      </w:tr>
      <w:tr w:rsidR="00057EB9" w:rsidRPr="005565E8" w:rsidTr="00057EB9">
        <w:trPr>
          <w:trHeight w:val="510"/>
          <w:jc w:val="center"/>
        </w:trPr>
        <w:tc>
          <w:tcPr>
            <w:tcW w:w="5374" w:type="dxa"/>
            <w:shd w:val="clear" w:color="auto" w:fill="auto"/>
            <w:vAlign w:val="center"/>
          </w:tcPr>
          <w:p w:rsidR="00057EB9" w:rsidRPr="005565E8" w:rsidRDefault="00057EB9" w:rsidP="00057EB9">
            <w:pPr>
              <w:rPr>
                <w:rFonts w:cs="Times New Roman"/>
                <w:szCs w:val="28"/>
              </w:rPr>
            </w:pPr>
            <w:r w:rsidRPr="005565E8">
              <w:rPr>
                <w:rFonts w:cs="Times New Roman"/>
                <w:szCs w:val="28"/>
              </w:rPr>
              <w:t>Статус здоровья</w:t>
            </w:r>
          </w:p>
        </w:tc>
        <w:tc>
          <w:tcPr>
            <w:tcW w:w="3315"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Конвенциональные</w:t>
            </w:r>
          </w:p>
        </w:tc>
      </w:tr>
      <w:tr w:rsidR="00057EB9" w:rsidRPr="005565E8" w:rsidTr="00057EB9">
        <w:trPr>
          <w:trHeight w:val="510"/>
          <w:jc w:val="center"/>
        </w:trPr>
        <w:tc>
          <w:tcPr>
            <w:tcW w:w="5374" w:type="dxa"/>
            <w:shd w:val="clear" w:color="auto" w:fill="auto"/>
            <w:vAlign w:val="center"/>
          </w:tcPr>
          <w:p w:rsidR="00057EB9" w:rsidRPr="005565E8" w:rsidRDefault="00057EB9" w:rsidP="00057EB9">
            <w:pPr>
              <w:rPr>
                <w:rFonts w:cs="Times New Roman"/>
                <w:szCs w:val="28"/>
              </w:rPr>
            </w:pPr>
            <w:r w:rsidRPr="005565E8">
              <w:rPr>
                <w:rFonts w:cs="Times New Roman"/>
                <w:szCs w:val="28"/>
              </w:rPr>
              <w:t>Возраст к началу исследования</w:t>
            </w:r>
          </w:p>
        </w:tc>
        <w:tc>
          <w:tcPr>
            <w:tcW w:w="3315"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lang w:val="en-US"/>
              </w:rPr>
              <w:t>5</w:t>
            </w:r>
            <w:r w:rsidRPr="005565E8">
              <w:rPr>
                <w:rFonts w:cs="Times New Roman"/>
                <w:szCs w:val="28"/>
              </w:rPr>
              <w:t>-</w:t>
            </w:r>
            <w:r w:rsidRPr="005565E8">
              <w:rPr>
                <w:rFonts w:cs="Times New Roman"/>
                <w:szCs w:val="28"/>
                <w:lang w:val="en-US"/>
              </w:rPr>
              <w:t>6</w:t>
            </w:r>
            <w:r w:rsidRPr="005565E8">
              <w:rPr>
                <w:rFonts w:cs="Times New Roman"/>
                <w:szCs w:val="28"/>
              </w:rPr>
              <w:t xml:space="preserve"> мес.</w:t>
            </w:r>
          </w:p>
        </w:tc>
      </w:tr>
      <w:tr w:rsidR="00057EB9" w:rsidRPr="005565E8" w:rsidTr="00057EB9">
        <w:trPr>
          <w:trHeight w:val="510"/>
          <w:jc w:val="center"/>
        </w:trPr>
        <w:tc>
          <w:tcPr>
            <w:tcW w:w="5374" w:type="dxa"/>
            <w:shd w:val="clear" w:color="auto" w:fill="auto"/>
            <w:vAlign w:val="center"/>
          </w:tcPr>
          <w:p w:rsidR="00057EB9" w:rsidRPr="005565E8" w:rsidRDefault="00057EB9" w:rsidP="00057EB9">
            <w:pPr>
              <w:rPr>
                <w:rFonts w:cs="Times New Roman"/>
                <w:szCs w:val="28"/>
              </w:rPr>
            </w:pPr>
            <w:r w:rsidRPr="005565E8">
              <w:rPr>
                <w:rFonts w:cs="Times New Roman"/>
                <w:szCs w:val="28"/>
              </w:rPr>
              <w:t>Масса тела к началу исследования</w:t>
            </w:r>
          </w:p>
          <w:p w:rsidR="00057EB9" w:rsidRPr="005565E8" w:rsidRDefault="00057EB9" w:rsidP="00057EB9">
            <w:pPr>
              <w:rPr>
                <w:rFonts w:cs="Times New Roman"/>
                <w:szCs w:val="28"/>
              </w:rPr>
            </w:pPr>
            <w:r w:rsidRPr="005565E8">
              <w:rPr>
                <w:rFonts w:cs="Times New Roman"/>
                <w:szCs w:val="28"/>
              </w:rPr>
              <w:t>(min - max)</w:t>
            </w:r>
          </w:p>
        </w:tc>
        <w:tc>
          <w:tcPr>
            <w:tcW w:w="3315"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90-100 кг</w:t>
            </w:r>
          </w:p>
        </w:tc>
      </w:tr>
    </w:tbl>
    <w:p w:rsidR="00057EB9" w:rsidRPr="005565E8" w:rsidRDefault="00057EB9" w:rsidP="00057EB9">
      <w:pPr>
        <w:rPr>
          <w:rFonts w:cs="Times New Roman"/>
          <w:szCs w:val="28"/>
        </w:rPr>
      </w:pPr>
    </w:p>
    <w:p w:rsidR="00057EB9" w:rsidRDefault="00057EB9" w:rsidP="00057EB9">
      <w:pPr>
        <w:ind w:firstLine="708"/>
        <w:rPr>
          <w:rFonts w:cs="Times New Roman"/>
          <w:szCs w:val="28"/>
        </w:rPr>
      </w:pPr>
      <w:bookmarkStart w:id="4" w:name="_Hlk493670634"/>
      <w:r>
        <w:rPr>
          <w:rFonts w:cs="Times New Roman"/>
          <w:szCs w:val="28"/>
        </w:rPr>
        <w:t>Всем животным в ходе эксперимента был имплантирован п</w:t>
      </w:r>
      <w:r w:rsidRPr="005565E8">
        <w:rPr>
          <w:rFonts w:cs="Times New Roman"/>
          <w:szCs w:val="28"/>
        </w:rPr>
        <w:t>ротез эндоваскулярный аортального клапана сердца ALCOR (далее по тексту – клапан, протез)</w:t>
      </w:r>
      <w:bookmarkEnd w:id="4"/>
      <w:r>
        <w:rPr>
          <w:rFonts w:cs="Times New Roman"/>
          <w:szCs w:val="28"/>
        </w:rPr>
        <w:t>,</w:t>
      </w:r>
      <w:r w:rsidRPr="005565E8">
        <w:rPr>
          <w:rFonts w:cs="Times New Roman"/>
          <w:szCs w:val="28"/>
        </w:rPr>
        <w:t xml:space="preserve"> предназначен</w:t>
      </w:r>
      <w:r>
        <w:rPr>
          <w:rFonts w:cs="Times New Roman"/>
          <w:szCs w:val="28"/>
        </w:rPr>
        <w:t>ный</w:t>
      </w:r>
      <w:r w:rsidRPr="005565E8">
        <w:rPr>
          <w:rFonts w:cs="Times New Roman"/>
          <w:szCs w:val="28"/>
        </w:rPr>
        <w:t xml:space="preserve"> для лечения стенозов аортального клапана сердца путем имплантации </w:t>
      </w:r>
      <w:proofErr w:type="gramStart"/>
      <w:r w:rsidRPr="005565E8">
        <w:rPr>
          <w:rFonts w:cs="Times New Roman"/>
          <w:szCs w:val="28"/>
        </w:rPr>
        <w:t>в место нахождения</w:t>
      </w:r>
      <w:proofErr w:type="gramEnd"/>
      <w:r w:rsidRPr="005565E8">
        <w:rPr>
          <w:rFonts w:cs="Times New Roman"/>
          <w:szCs w:val="28"/>
        </w:rPr>
        <w:t xml:space="preserve"> нативного, патологически измененного аортального клапана (выходной отдел левого желудочка и корень аорты).</w:t>
      </w:r>
      <w:r>
        <w:rPr>
          <w:rFonts w:cs="Times New Roman"/>
          <w:szCs w:val="28"/>
        </w:rPr>
        <w:t xml:space="preserve"> </w:t>
      </w:r>
      <w:r w:rsidRPr="005565E8">
        <w:rPr>
          <w:rFonts w:cs="Times New Roman"/>
          <w:szCs w:val="28"/>
        </w:rPr>
        <w:t>Клапан с системой доставки и системой сборки используются для транскатетерной процедуры имплантации</w:t>
      </w:r>
      <w:bookmarkStart w:id="5" w:name="_Hlk6238096"/>
      <w:r>
        <w:rPr>
          <w:rFonts w:cs="Times New Roman"/>
          <w:szCs w:val="28"/>
        </w:rPr>
        <w:t>.</w:t>
      </w:r>
    </w:p>
    <w:p w:rsidR="00057EB9" w:rsidRDefault="00057EB9" w:rsidP="00057EB9">
      <w:pPr>
        <w:ind w:firstLine="708"/>
        <w:rPr>
          <w:rFonts w:cs="Times New Roman"/>
          <w:szCs w:val="28"/>
        </w:rPr>
      </w:pPr>
      <w:r>
        <w:rPr>
          <w:rFonts w:cs="Times New Roman"/>
          <w:szCs w:val="28"/>
        </w:rPr>
        <w:t xml:space="preserve">Клапан </w:t>
      </w:r>
      <w:r w:rsidRPr="005565E8">
        <w:rPr>
          <w:rFonts w:cs="Times New Roman"/>
          <w:szCs w:val="28"/>
        </w:rPr>
        <w:t xml:space="preserve">представляет собой металлический имплантат из сплава нитинол с эффектом «памяти формы», к которому пришиты запирающие элементы, выполненные </w:t>
      </w:r>
      <w:proofErr w:type="gramStart"/>
      <w:r w:rsidRPr="005565E8">
        <w:rPr>
          <w:rFonts w:cs="Times New Roman"/>
          <w:szCs w:val="28"/>
        </w:rPr>
        <w:t>из</w:t>
      </w:r>
      <w:proofErr w:type="gramEnd"/>
      <w:r w:rsidRPr="005565E8">
        <w:rPr>
          <w:rFonts w:cs="Times New Roman"/>
          <w:szCs w:val="28"/>
        </w:rPr>
        <w:t xml:space="preserve"> свиного ксеноперикарда.</w:t>
      </w:r>
      <w:bookmarkEnd w:id="5"/>
      <w:r w:rsidRPr="005565E8">
        <w:rPr>
          <w:rFonts w:cs="Times New Roman"/>
          <w:szCs w:val="28"/>
        </w:rPr>
        <w:t xml:space="preserve"> Ксеноперикардиальный </w:t>
      </w:r>
      <w:r w:rsidRPr="005565E8">
        <w:rPr>
          <w:rFonts w:cs="Times New Roman"/>
          <w:szCs w:val="28"/>
        </w:rPr>
        <w:lastRenderedPageBreak/>
        <w:t>материал химически обработан таким образом, чтобы защитить створчатый аппарат от избыточного отложения кальция при работе и уменьшить риск выхода клапана из строя из-за кальцинирования с течением времени.</w:t>
      </w:r>
      <w:r>
        <w:rPr>
          <w:rFonts w:cs="Times New Roman"/>
          <w:szCs w:val="28"/>
        </w:rPr>
        <w:t xml:space="preserve"> В работе были использованы к</w:t>
      </w:r>
      <w:r w:rsidRPr="005565E8">
        <w:rPr>
          <w:rFonts w:cs="Times New Roman"/>
          <w:szCs w:val="28"/>
        </w:rPr>
        <w:t>лапан</w:t>
      </w:r>
      <w:r>
        <w:rPr>
          <w:rFonts w:cs="Times New Roman"/>
          <w:szCs w:val="28"/>
        </w:rPr>
        <w:t>ы</w:t>
      </w:r>
      <w:r w:rsidRPr="005565E8">
        <w:rPr>
          <w:rFonts w:cs="Times New Roman"/>
          <w:szCs w:val="28"/>
        </w:rPr>
        <w:t xml:space="preserve"> трех номинальных размеров: 26, 29 и 31 для соответствующих посадочных диаметров, определяемых по размеру фиброзного кольца</w:t>
      </w:r>
      <w:r>
        <w:rPr>
          <w:rFonts w:cs="Times New Roman"/>
          <w:szCs w:val="28"/>
        </w:rPr>
        <w:t xml:space="preserve"> (табл. 4).</w:t>
      </w:r>
    </w:p>
    <w:p w:rsidR="00057EB9" w:rsidRDefault="00057EB9" w:rsidP="00057EB9">
      <w:pPr>
        <w:ind w:firstLine="708"/>
        <w:jc w:val="right"/>
        <w:rPr>
          <w:rFonts w:cs="Times New Roman"/>
          <w:szCs w:val="28"/>
        </w:rPr>
      </w:pPr>
      <w:r>
        <w:rPr>
          <w:rFonts w:cs="Times New Roman"/>
          <w:szCs w:val="28"/>
        </w:rPr>
        <w:t>Таблица 4</w:t>
      </w:r>
    </w:p>
    <w:p w:rsidR="00057EB9" w:rsidRPr="005565E8" w:rsidRDefault="00057EB9" w:rsidP="00057EB9">
      <w:pPr>
        <w:ind w:firstLine="708"/>
        <w:jc w:val="center"/>
        <w:rPr>
          <w:rFonts w:cs="Times New Roman"/>
          <w:szCs w:val="28"/>
        </w:rPr>
      </w:pPr>
      <w:r>
        <w:rPr>
          <w:rFonts w:cs="Times New Roman"/>
          <w:szCs w:val="28"/>
        </w:rPr>
        <w:t>Номинальные размеры клапанов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65"/>
        <w:gridCol w:w="3260"/>
      </w:tblGrid>
      <w:tr w:rsidR="00057EB9" w:rsidRPr="005565E8" w:rsidTr="00057EB9">
        <w:trPr>
          <w:trHeight w:val="454"/>
          <w:jc w:val="center"/>
        </w:trPr>
        <w:tc>
          <w:tcPr>
            <w:tcW w:w="5965" w:type="dxa"/>
            <w:shd w:val="clear" w:color="auto" w:fill="auto"/>
            <w:vAlign w:val="center"/>
          </w:tcPr>
          <w:p w:rsidR="00057EB9" w:rsidRPr="005565E8" w:rsidRDefault="00057EB9" w:rsidP="00057EB9">
            <w:pPr>
              <w:rPr>
                <w:rFonts w:cs="Times New Roman"/>
                <w:szCs w:val="28"/>
              </w:rPr>
            </w:pPr>
            <w:r w:rsidRPr="005565E8">
              <w:rPr>
                <w:rFonts w:cs="Times New Roman"/>
                <w:szCs w:val="28"/>
              </w:rPr>
              <w:t>Номинальный размер клапана</w:t>
            </w:r>
          </w:p>
        </w:tc>
        <w:tc>
          <w:tcPr>
            <w:tcW w:w="3260" w:type="dxa"/>
            <w:shd w:val="clear" w:color="auto" w:fill="auto"/>
            <w:vAlign w:val="center"/>
          </w:tcPr>
          <w:p w:rsidR="00057EB9" w:rsidRPr="005565E8" w:rsidRDefault="00057EB9" w:rsidP="00057EB9">
            <w:pPr>
              <w:rPr>
                <w:rFonts w:cs="Times New Roman"/>
                <w:szCs w:val="28"/>
              </w:rPr>
            </w:pPr>
            <w:r w:rsidRPr="005565E8">
              <w:rPr>
                <w:rFonts w:cs="Times New Roman"/>
                <w:szCs w:val="28"/>
              </w:rPr>
              <w:t xml:space="preserve">Посадочный диаметр, </w:t>
            </w:r>
            <w:proofErr w:type="gramStart"/>
            <w:r w:rsidRPr="005565E8">
              <w:rPr>
                <w:rFonts w:cs="Times New Roman"/>
                <w:szCs w:val="28"/>
              </w:rPr>
              <w:t>мм</w:t>
            </w:r>
            <w:proofErr w:type="gramEnd"/>
          </w:p>
        </w:tc>
      </w:tr>
      <w:tr w:rsidR="00057EB9" w:rsidRPr="005565E8" w:rsidTr="00057EB9">
        <w:trPr>
          <w:trHeight w:val="454"/>
          <w:jc w:val="center"/>
        </w:trPr>
        <w:tc>
          <w:tcPr>
            <w:tcW w:w="5965" w:type="dxa"/>
            <w:shd w:val="clear" w:color="auto" w:fill="auto"/>
            <w:vAlign w:val="center"/>
          </w:tcPr>
          <w:p w:rsidR="00057EB9" w:rsidRPr="005565E8" w:rsidRDefault="00057EB9" w:rsidP="00057EB9">
            <w:pPr>
              <w:rPr>
                <w:rFonts w:cs="Times New Roman"/>
                <w:szCs w:val="28"/>
              </w:rPr>
            </w:pPr>
            <w:r w:rsidRPr="005565E8">
              <w:rPr>
                <w:rFonts w:cs="Times New Roman"/>
                <w:szCs w:val="28"/>
              </w:rPr>
              <w:t>26</w:t>
            </w:r>
          </w:p>
        </w:tc>
        <w:tc>
          <w:tcPr>
            <w:tcW w:w="3260" w:type="dxa"/>
            <w:shd w:val="clear" w:color="auto" w:fill="auto"/>
            <w:vAlign w:val="center"/>
          </w:tcPr>
          <w:p w:rsidR="00057EB9" w:rsidRPr="005565E8" w:rsidRDefault="00057EB9" w:rsidP="00057EB9">
            <w:pPr>
              <w:rPr>
                <w:rFonts w:cs="Times New Roman"/>
                <w:szCs w:val="28"/>
              </w:rPr>
            </w:pPr>
            <w:r w:rsidRPr="005565E8">
              <w:rPr>
                <w:rFonts w:cs="Times New Roman"/>
                <w:szCs w:val="28"/>
              </w:rPr>
              <w:t>От 20 до 23 включ.</w:t>
            </w:r>
          </w:p>
        </w:tc>
      </w:tr>
      <w:tr w:rsidR="00057EB9" w:rsidRPr="005565E8" w:rsidTr="00057EB9">
        <w:trPr>
          <w:trHeight w:val="454"/>
          <w:jc w:val="center"/>
        </w:trPr>
        <w:tc>
          <w:tcPr>
            <w:tcW w:w="5965" w:type="dxa"/>
            <w:shd w:val="clear" w:color="auto" w:fill="auto"/>
            <w:vAlign w:val="center"/>
          </w:tcPr>
          <w:p w:rsidR="00057EB9" w:rsidRPr="005565E8" w:rsidRDefault="00057EB9" w:rsidP="00057EB9">
            <w:pPr>
              <w:rPr>
                <w:rFonts w:cs="Times New Roman"/>
                <w:szCs w:val="28"/>
              </w:rPr>
            </w:pPr>
            <w:r w:rsidRPr="005565E8">
              <w:rPr>
                <w:rFonts w:cs="Times New Roman"/>
                <w:szCs w:val="28"/>
              </w:rPr>
              <w:t>29</w:t>
            </w:r>
          </w:p>
        </w:tc>
        <w:tc>
          <w:tcPr>
            <w:tcW w:w="3260" w:type="dxa"/>
            <w:shd w:val="clear" w:color="auto" w:fill="auto"/>
            <w:vAlign w:val="center"/>
          </w:tcPr>
          <w:p w:rsidR="00057EB9" w:rsidRPr="005565E8" w:rsidRDefault="00057EB9" w:rsidP="00057EB9">
            <w:pPr>
              <w:rPr>
                <w:rFonts w:cs="Times New Roman"/>
                <w:szCs w:val="28"/>
              </w:rPr>
            </w:pPr>
            <w:r w:rsidRPr="005565E8">
              <w:rPr>
                <w:rFonts w:cs="Times New Roman"/>
                <w:szCs w:val="28"/>
              </w:rPr>
              <w:t>Св. 23 до 26 включ.</w:t>
            </w:r>
          </w:p>
        </w:tc>
      </w:tr>
      <w:tr w:rsidR="00057EB9" w:rsidRPr="005565E8" w:rsidTr="00057EB9">
        <w:trPr>
          <w:trHeight w:val="454"/>
          <w:jc w:val="center"/>
        </w:trPr>
        <w:tc>
          <w:tcPr>
            <w:tcW w:w="5965" w:type="dxa"/>
            <w:shd w:val="clear" w:color="auto" w:fill="auto"/>
            <w:vAlign w:val="center"/>
          </w:tcPr>
          <w:p w:rsidR="00057EB9" w:rsidRPr="005565E8" w:rsidRDefault="00057EB9" w:rsidP="00057EB9">
            <w:pPr>
              <w:rPr>
                <w:rFonts w:cs="Times New Roman"/>
                <w:szCs w:val="28"/>
              </w:rPr>
            </w:pPr>
            <w:r w:rsidRPr="005565E8">
              <w:rPr>
                <w:rFonts w:cs="Times New Roman"/>
                <w:szCs w:val="28"/>
              </w:rPr>
              <w:t>31</w:t>
            </w:r>
          </w:p>
        </w:tc>
        <w:tc>
          <w:tcPr>
            <w:tcW w:w="3260" w:type="dxa"/>
            <w:shd w:val="clear" w:color="auto" w:fill="auto"/>
            <w:vAlign w:val="center"/>
          </w:tcPr>
          <w:p w:rsidR="00057EB9" w:rsidRPr="005565E8" w:rsidRDefault="00057EB9" w:rsidP="00057EB9">
            <w:pPr>
              <w:rPr>
                <w:rFonts w:cs="Times New Roman"/>
                <w:szCs w:val="28"/>
              </w:rPr>
            </w:pPr>
            <w:r w:rsidRPr="005565E8">
              <w:rPr>
                <w:rFonts w:cs="Times New Roman"/>
                <w:szCs w:val="28"/>
              </w:rPr>
              <w:t>Св. 26 до 29 включ.</w:t>
            </w:r>
          </w:p>
        </w:tc>
      </w:tr>
    </w:tbl>
    <w:p w:rsidR="00057EB9" w:rsidRDefault="00057EB9" w:rsidP="00057EB9">
      <w:pPr>
        <w:rPr>
          <w:rFonts w:cs="Times New Roman"/>
          <w:szCs w:val="28"/>
        </w:rPr>
      </w:pPr>
    </w:p>
    <w:p w:rsidR="00057EB9" w:rsidRDefault="00057EB9" w:rsidP="00057EB9">
      <w:pPr>
        <w:ind w:firstLine="708"/>
        <w:rPr>
          <w:rFonts w:cs="Times New Roman"/>
          <w:szCs w:val="28"/>
        </w:rPr>
      </w:pPr>
      <w:r>
        <w:rPr>
          <w:rFonts w:cs="Times New Roman"/>
          <w:szCs w:val="28"/>
        </w:rPr>
        <w:t>Н</w:t>
      </w:r>
      <w:r w:rsidRPr="005565E8">
        <w:rPr>
          <w:rFonts w:cs="Times New Roman"/>
          <w:szCs w:val="28"/>
        </w:rPr>
        <w:t>оминальный размер клапана определя</w:t>
      </w:r>
      <w:r>
        <w:rPr>
          <w:rFonts w:cs="Times New Roman"/>
          <w:szCs w:val="28"/>
        </w:rPr>
        <w:t>л</w:t>
      </w:r>
      <w:r w:rsidRPr="005565E8">
        <w:rPr>
          <w:rFonts w:cs="Times New Roman"/>
          <w:szCs w:val="28"/>
        </w:rPr>
        <w:t>ся в соответствии со следующей таблицей</w:t>
      </w:r>
      <w:r>
        <w:rPr>
          <w:rFonts w:cs="Times New Roman"/>
          <w:szCs w:val="28"/>
        </w:rPr>
        <w:t xml:space="preserve"> (табл. 5).</w:t>
      </w:r>
    </w:p>
    <w:p w:rsidR="00057EB9" w:rsidRDefault="00057EB9" w:rsidP="00057EB9">
      <w:pPr>
        <w:ind w:firstLine="708"/>
        <w:jc w:val="right"/>
        <w:rPr>
          <w:rFonts w:cs="Times New Roman"/>
          <w:szCs w:val="28"/>
        </w:rPr>
      </w:pPr>
      <w:r>
        <w:rPr>
          <w:rFonts w:cs="Times New Roman"/>
          <w:szCs w:val="28"/>
        </w:rPr>
        <w:t>Таблица 5</w:t>
      </w:r>
    </w:p>
    <w:p w:rsidR="00057EB9" w:rsidRPr="005565E8" w:rsidRDefault="00057EB9" w:rsidP="00057EB9">
      <w:pPr>
        <w:jc w:val="center"/>
        <w:rPr>
          <w:rFonts w:cs="Times New Roman"/>
          <w:szCs w:val="28"/>
        </w:rPr>
      </w:pPr>
      <w:r>
        <w:rPr>
          <w:rFonts w:cs="Times New Roman"/>
          <w:szCs w:val="28"/>
        </w:rPr>
        <w:t>Определение номинального размера клапана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2"/>
        <w:gridCol w:w="2126"/>
        <w:gridCol w:w="2126"/>
        <w:gridCol w:w="2548"/>
      </w:tblGrid>
      <w:tr w:rsidR="00057EB9" w:rsidRPr="005565E8" w:rsidTr="00057EB9">
        <w:trPr>
          <w:trHeight w:val="454"/>
          <w:jc w:val="center"/>
        </w:trPr>
        <w:tc>
          <w:tcPr>
            <w:tcW w:w="2122"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Номинальный размер клапана</w:t>
            </w:r>
          </w:p>
        </w:tc>
        <w:tc>
          <w:tcPr>
            <w:tcW w:w="2126"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Диаметр D1, мм</w:t>
            </w:r>
          </w:p>
        </w:tc>
        <w:tc>
          <w:tcPr>
            <w:tcW w:w="2126"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Диаметр D2, мм</w:t>
            </w:r>
          </w:p>
        </w:tc>
        <w:tc>
          <w:tcPr>
            <w:tcW w:w="2548" w:type="dxa"/>
            <w:vAlign w:val="center"/>
          </w:tcPr>
          <w:p w:rsidR="00057EB9" w:rsidRPr="005565E8" w:rsidRDefault="00057EB9" w:rsidP="00057EB9">
            <w:pPr>
              <w:jc w:val="center"/>
              <w:rPr>
                <w:rFonts w:cs="Times New Roman"/>
                <w:szCs w:val="28"/>
              </w:rPr>
            </w:pPr>
            <w:r w:rsidRPr="005565E8">
              <w:rPr>
                <w:rFonts w:cs="Times New Roman"/>
                <w:szCs w:val="28"/>
              </w:rPr>
              <w:t>Диаметр D3, мм</w:t>
            </w:r>
          </w:p>
        </w:tc>
      </w:tr>
      <w:tr w:rsidR="00057EB9" w:rsidRPr="005565E8" w:rsidTr="00057EB9">
        <w:trPr>
          <w:trHeight w:val="454"/>
          <w:jc w:val="center"/>
        </w:trPr>
        <w:tc>
          <w:tcPr>
            <w:tcW w:w="2122" w:type="dxa"/>
            <w:shd w:val="clear" w:color="auto" w:fill="auto"/>
            <w:vAlign w:val="center"/>
          </w:tcPr>
          <w:p w:rsidR="00057EB9" w:rsidRPr="005565E8" w:rsidRDefault="00057EB9" w:rsidP="00057EB9">
            <w:pPr>
              <w:rPr>
                <w:rFonts w:cs="Times New Roman"/>
                <w:szCs w:val="28"/>
              </w:rPr>
            </w:pPr>
            <w:r w:rsidRPr="005565E8">
              <w:rPr>
                <w:rFonts w:cs="Times New Roman"/>
                <w:szCs w:val="28"/>
              </w:rPr>
              <w:t>26</w:t>
            </w:r>
          </w:p>
        </w:tc>
        <w:tc>
          <w:tcPr>
            <w:tcW w:w="2126"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25,5 ± 1,0</w:t>
            </w:r>
          </w:p>
        </w:tc>
        <w:tc>
          <w:tcPr>
            <w:tcW w:w="2126"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21,5 ± 1,0</w:t>
            </w:r>
          </w:p>
        </w:tc>
        <w:tc>
          <w:tcPr>
            <w:tcW w:w="2548" w:type="dxa"/>
            <w:vAlign w:val="center"/>
          </w:tcPr>
          <w:p w:rsidR="00057EB9" w:rsidRPr="005565E8" w:rsidRDefault="00057EB9" w:rsidP="00057EB9">
            <w:pPr>
              <w:jc w:val="center"/>
              <w:rPr>
                <w:rFonts w:cs="Times New Roman"/>
                <w:szCs w:val="28"/>
              </w:rPr>
            </w:pPr>
            <w:r w:rsidRPr="005565E8">
              <w:rPr>
                <w:rFonts w:cs="Times New Roman"/>
                <w:szCs w:val="28"/>
              </w:rPr>
              <w:t>39 ± 4</w:t>
            </w:r>
          </w:p>
        </w:tc>
      </w:tr>
      <w:tr w:rsidR="00057EB9" w:rsidRPr="005565E8" w:rsidTr="00057EB9">
        <w:trPr>
          <w:trHeight w:val="454"/>
          <w:jc w:val="center"/>
        </w:trPr>
        <w:tc>
          <w:tcPr>
            <w:tcW w:w="2122" w:type="dxa"/>
            <w:shd w:val="clear" w:color="auto" w:fill="auto"/>
            <w:vAlign w:val="center"/>
          </w:tcPr>
          <w:p w:rsidR="00057EB9" w:rsidRPr="005565E8" w:rsidRDefault="00057EB9" w:rsidP="00057EB9">
            <w:pPr>
              <w:rPr>
                <w:rFonts w:cs="Times New Roman"/>
                <w:szCs w:val="28"/>
              </w:rPr>
            </w:pPr>
            <w:r w:rsidRPr="005565E8">
              <w:rPr>
                <w:rFonts w:cs="Times New Roman"/>
                <w:szCs w:val="28"/>
              </w:rPr>
              <w:t>29</w:t>
            </w:r>
          </w:p>
        </w:tc>
        <w:tc>
          <w:tcPr>
            <w:tcW w:w="2126"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28,5 ± 1,5</w:t>
            </w:r>
          </w:p>
        </w:tc>
        <w:tc>
          <w:tcPr>
            <w:tcW w:w="2126"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24,0 ± 1,5</w:t>
            </w:r>
          </w:p>
        </w:tc>
        <w:tc>
          <w:tcPr>
            <w:tcW w:w="2548" w:type="dxa"/>
            <w:vAlign w:val="center"/>
          </w:tcPr>
          <w:p w:rsidR="00057EB9" w:rsidRPr="005565E8" w:rsidRDefault="00057EB9" w:rsidP="00057EB9">
            <w:pPr>
              <w:jc w:val="center"/>
              <w:rPr>
                <w:rFonts w:cs="Times New Roman"/>
                <w:szCs w:val="28"/>
              </w:rPr>
            </w:pPr>
            <w:r w:rsidRPr="005565E8">
              <w:rPr>
                <w:rFonts w:cs="Times New Roman"/>
                <w:szCs w:val="28"/>
              </w:rPr>
              <w:t>39 ± 4</w:t>
            </w:r>
          </w:p>
        </w:tc>
      </w:tr>
      <w:tr w:rsidR="00057EB9" w:rsidRPr="005565E8" w:rsidTr="00057EB9">
        <w:trPr>
          <w:trHeight w:val="454"/>
          <w:jc w:val="center"/>
        </w:trPr>
        <w:tc>
          <w:tcPr>
            <w:tcW w:w="2122" w:type="dxa"/>
            <w:shd w:val="clear" w:color="auto" w:fill="auto"/>
            <w:vAlign w:val="center"/>
          </w:tcPr>
          <w:p w:rsidR="00057EB9" w:rsidRPr="005565E8" w:rsidRDefault="00057EB9" w:rsidP="00057EB9">
            <w:pPr>
              <w:rPr>
                <w:rFonts w:cs="Times New Roman"/>
                <w:szCs w:val="28"/>
              </w:rPr>
            </w:pPr>
            <w:r w:rsidRPr="005565E8">
              <w:rPr>
                <w:rFonts w:cs="Times New Roman"/>
                <w:szCs w:val="28"/>
              </w:rPr>
              <w:t>31</w:t>
            </w:r>
          </w:p>
        </w:tc>
        <w:tc>
          <w:tcPr>
            <w:tcW w:w="2126"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31,0 ± 1,5</w:t>
            </w:r>
          </w:p>
        </w:tc>
        <w:tc>
          <w:tcPr>
            <w:tcW w:w="2126" w:type="dxa"/>
            <w:shd w:val="clear" w:color="auto" w:fill="auto"/>
            <w:vAlign w:val="center"/>
          </w:tcPr>
          <w:p w:rsidR="00057EB9" w:rsidRPr="005565E8" w:rsidRDefault="00057EB9" w:rsidP="00057EB9">
            <w:pPr>
              <w:jc w:val="center"/>
              <w:rPr>
                <w:rFonts w:cs="Times New Roman"/>
                <w:szCs w:val="28"/>
              </w:rPr>
            </w:pPr>
            <w:r w:rsidRPr="005565E8">
              <w:rPr>
                <w:rFonts w:cs="Times New Roman"/>
                <w:szCs w:val="28"/>
              </w:rPr>
              <w:t>23,5 ± 1,5</w:t>
            </w:r>
          </w:p>
        </w:tc>
        <w:tc>
          <w:tcPr>
            <w:tcW w:w="2548" w:type="dxa"/>
            <w:vAlign w:val="center"/>
          </w:tcPr>
          <w:p w:rsidR="00057EB9" w:rsidRPr="005565E8" w:rsidRDefault="00057EB9" w:rsidP="00057EB9">
            <w:pPr>
              <w:jc w:val="center"/>
              <w:rPr>
                <w:rFonts w:cs="Times New Roman"/>
                <w:szCs w:val="28"/>
              </w:rPr>
            </w:pPr>
            <w:r w:rsidRPr="005565E8">
              <w:rPr>
                <w:rFonts w:cs="Times New Roman"/>
                <w:szCs w:val="28"/>
              </w:rPr>
              <w:t>39 ± 4</w:t>
            </w:r>
          </w:p>
        </w:tc>
      </w:tr>
    </w:tbl>
    <w:p w:rsidR="00057EB9" w:rsidRPr="005565E8" w:rsidRDefault="00057EB9" w:rsidP="00057EB9">
      <w:pPr>
        <w:rPr>
          <w:rFonts w:cs="Times New Roman"/>
          <w:szCs w:val="28"/>
        </w:rPr>
      </w:pPr>
    </w:p>
    <w:p w:rsidR="00057EB9" w:rsidRPr="005565E8" w:rsidRDefault="00057EB9" w:rsidP="00057EB9">
      <w:pPr>
        <w:ind w:firstLine="708"/>
        <w:rPr>
          <w:rFonts w:cs="Times New Roman"/>
          <w:szCs w:val="28"/>
        </w:rPr>
      </w:pPr>
      <w:r w:rsidRPr="005565E8">
        <w:rPr>
          <w:rFonts w:cs="Times New Roman"/>
          <w:szCs w:val="28"/>
        </w:rPr>
        <w:t>Система доставки клапана предназначена для доставки, позиционирования и имплантации клапана. Клапан раскрывается со стороны левого желудочка с дистального конца системы доставки, после раскрытия клапана система доставки удаляется из тела пациента.</w:t>
      </w:r>
    </w:p>
    <w:p w:rsidR="00057EB9" w:rsidRPr="005565E8" w:rsidRDefault="00057EB9" w:rsidP="00057EB9">
      <w:pPr>
        <w:ind w:firstLine="708"/>
        <w:rPr>
          <w:rFonts w:cs="Times New Roman"/>
          <w:szCs w:val="28"/>
        </w:rPr>
      </w:pPr>
      <w:r>
        <w:rPr>
          <w:rFonts w:cs="Times New Roman"/>
          <w:szCs w:val="28"/>
        </w:rPr>
        <w:lastRenderedPageBreak/>
        <w:t xml:space="preserve">Система доставки </w:t>
      </w:r>
      <w:r w:rsidRPr="005565E8">
        <w:rPr>
          <w:rFonts w:cs="Times New Roman"/>
          <w:szCs w:val="28"/>
        </w:rPr>
        <w:t xml:space="preserve">состоит из корпуса с подвижной рукояткой, системы шафтов и защитного чехла на дистальном конце, в который перед операцией помещается клапан. Гибкая система шафтов и рентгеноконтрастная метка на конце защитного чехла позволяют провести клапан в необходимое место и точно его спозиционировать. Атравматический кончик системы доставки позволяет безопасно проводить систему доставки в полость левого желудочка. Петли каркаса клапана удерживают клапан на системе доставки до момента полного снятия защитного чехла. </w:t>
      </w:r>
    </w:p>
    <w:p w:rsidR="00057EB9" w:rsidRDefault="00057EB9" w:rsidP="00057EB9">
      <w:pPr>
        <w:ind w:firstLine="708"/>
        <w:rPr>
          <w:rFonts w:cs="Times New Roman"/>
          <w:szCs w:val="28"/>
        </w:rPr>
      </w:pPr>
      <w:r w:rsidRPr="005565E8">
        <w:rPr>
          <w:rFonts w:cs="Times New Roman"/>
          <w:szCs w:val="28"/>
        </w:rPr>
        <w:t>Подвижная рукоятка системы доставки путем вращения позволяет точно управлять перемещением защитного чехла во время загрузки клапана и во время имплантации клапана. Кнопка рукоятки позволяет быстро перемещать подвижную рукоятку и связанный с ней защитный чехол, открывать систему доставки для загрузки клапана перед имплантацией, закрывать систему доставки для загрузки перед имплантацией и закрывать систему доставки в нисходящей аорте после имплантации. Порты с луер-разъемами, выходящие из корпуса системы доставки, позволяют промывать внутренний просвет системы доставки и защитный чехол системы доставки.</w:t>
      </w:r>
    </w:p>
    <w:p w:rsidR="00057EB9" w:rsidRPr="005565E8" w:rsidRDefault="00057EB9" w:rsidP="00057EB9">
      <w:pPr>
        <w:ind w:firstLine="708"/>
        <w:rPr>
          <w:rFonts w:cs="Times New Roman"/>
          <w:szCs w:val="28"/>
        </w:rPr>
      </w:pPr>
      <w:r w:rsidRPr="005565E8">
        <w:rPr>
          <w:rFonts w:cs="Times New Roman"/>
          <w:szCs w:val="28"/>
        </w:rPr>
        <w:t>Клапан и система доставки позволяют проводить имплантацию трансфеморальным, трансаортальным и подключичным доступом.</w:t>
      </w:r>
    </w:p>
    <w:p w:rsidR="00057EB9" w:rsidRPr="005565E8" w:rsidRDefault="00057EB9" w:rsidP="00057EB9">
      <w:pPr>
        <w:ind w:firstLine="708"/>
        <w:rPr>
          <w:rFonts w:cs="Times New Roman"/>
          <w:szCs w:val="28"/>
        </w:rPr>
      </w:pPr>
      <w:r w:rsidRPr="005565E8">
        <w:rPr>
          <w:rFonts w:cs="Times New Roman"/>
          <w:szCs w:val="28"/>
        </w:rPr>
        <w:t>Система сборки представляет собой систему из конусов и трубок, предназначенных для помещения клапана в защитный чехол системы доставки перед операцией.</w:t>
      </w:r>
    </w:p>
    <w:p w:rsidR="00057EB9" w:rsidRDefault="00057EB9" w:rsidP="00057EB9">
      <w:pPr>
        <w:ind w:firstLine="708"/>
        <w:rPr>
          <w:rFonts w:cs="Times New Roman"/>
          <w:szCs w:val="28"/>
        </w:rPr>
      </w:pPr>
      <w:r w:rsidRPr="005565E8">
        <w:rPr>
          <w:rFonts w:cs="Times New Roman"/>
          <w:szCs w:val="28"/>
        </w:rPr>
        <w:t xml:space="preserve">Общий вид клапана в раскрытом состоянии представлен на рис. </w:t>
      </w:r>
      <w:r>
        <w:rPr>
          <w:rFonts w:cs="Times New Roman"/>
          <w:szCs w:val="28"/>
        </w:rPr>
        <w:t>2.</w:t>
      </w:r>
    </w:p>
    <w:p w:rsidR="00057EB9" w:rsidRDefault="00057EB9" w:rsidP="00057EB9">
      <w:pPr>
        <w:ind w:firstLine="708"/>
        <w:rPr>
          <w:rFonts w:cs="Times New Roman"/>
          <w:szCs w:val="28"/>
        </w:rPr>
      </w:pPr>
    </w:p>
    <w:p w:rsidR="00057EB9" w:rsidRDefault="00057EB9" w:rsidP="00057EB9">
      <w:pPr>
        <w:ind w:firstLine="708"/>
        <w:rPr>
          <w:rFonts w:cs="Times New Roman"/>
          <w:szCs w:val="28"/>
        </w:rPr>
      </w:pPr>
    </w:p>
    <w:p w:rsidR="00057EB9" w:rsidRDefault="00057EB9" w:rsidP="00057EB9">
      <w:pPr>
        <w:ind w:firstLine="708"/>
        <w:rPr>
          <w:rFonts w:cs="Times New Roman"/>
          <w:szCs w:val="28"/>
        </w:rPr>
      </w:pPr>
    </w:p>
    <w:p w:rsidR="00057EB9" w:rsidRDefault="00057EB9" w:rsidP="00057EB9">
      <w:pPr>
        <w:ind w:firstLine="708"/>
        <w:rPr>
          <w:rFonts w:cs="Times New Roman"/>
          <w:szCs w:val="28"/>
        </w:rPr>
      </w:pPr>
    </w:p>
    <w:p w:rsidR="00057EB9" w:rsidRDefault="00057EB9" w:rsidP="00057EB9">
      <w:pPr>
        <w:ind w:firstLine="708"/>
        <w:rPr>
          <w:rFonts w:cs="Times New Roman"/>
          <w:szCs w:val="28"/>
        </w:rPr>
      </w:pPr>
    </w:p>
    <w:p w:rsidR="00057EB9" w:rsidRDefault="00057EB9" w:rsidP="00057EB9">
      <w:pPr>
        <w:ind w:firstLine="708"/>
        <w:rPr>
          <w:rFonts w:cs="Times New Roman"/>
          <w:szCs w:val="28"/>
        </w:rPr>
      </w:pPr>
    </w:p>
    <w:p w:rsidR="00057EB9" w:rsidRDefault="00057EB9" w:rsidP="00057EB9">
      <w:pPr>
        <w:ind w:firstLine="708"/>
        <w:rPr>
          <w:rFonts w:cs="Times New Roman"/>
          <w:szCs w:val="28"/>
        </w:rPr>
      </w:pPr>
    </w:p>
    <w:p w:rsidR="00057EB9" w:rsidRDefault="00057EB9" w:rsidP="00057EB9">
      <w:pPr>
        <w:ind w:firstLine="708"/>
        <w:rPr>
          <w:rFonts w:cs="Times New Roman"/>
          <w:szCs w:val="28"/>
        </w:rPr>
      </w:pPr>
    </w:p>
    <w:p w:rsidR="00057EB9" w:rsidRDefault="00057EB9" w:rsidP="00057EB9">
      <w:pPr>
        <w:ind w:firstLine="708"/>
        <w:rPr>
          <w:rFonts w:cs="Times New Roman"/>
          <w:szCs w:val="28"/>
        </w:rPr>
      </w:pPr>
    </w:p>
    <w:p w:rsidR="00057EB9" w:rsidRPr="005565E8" w:rsidRDefault="00057EB9" w:rsidP="00057EB9">
      <w:pPr>
        <w:jc w:val="center"/>
        <w:rPr>
          <w:rFonts w:cs="Times New Roman"/>
          <w:szCs w:val="28"/>
        </w:rPr>
      </w:pPr>
      <w:bookmarkStart w:id="6" w:name="_Hlk526344048"/>
      <w:r w:rsidRPr="005565E8">
        <w:rPr>
          <w:rFonts w:cs="Times New Roman"/>
          <w:noProof/>
          <w:szCs w:val="28"/>
          <w:lang w:eastAsia="ru-RU"/>
        </w:rPr>
        <w:drawing>
          <wp:inline distT="0" distB="0" distL="0" distR="0">
            <wp:extent cx="5553075" cy="3562350"/>
            <wp:effectExtent l="19050" t="19050" r="28575" b="19050"/>
            <wp:docPr id="8" name="Рисунок 6" descr="Рис 1 2018 07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1 2018 07 3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075" cy="3562350"/>
                    </a:xfrm>
                    <a:prstGeom prst="rect">
                      <a:avLst/>
                    </a:prstGeom>
                    <a:noFill/>
                    <a:ln>
                      <a:solidFill>
                        <a:schemeClr val="tx1"/>
                      </a:solidFill>
                    </a:ln>
                  </pic:spPr>
                </pic:pic>
              </a:graphicData>
            </a:graphic>
          </wp:inline>
        </w:drawing>
      </w:r>
      <w:bookmarkEnd w:id="6"/>
    </w:p>
    <w:p w:rsidR="00057EB9" w:rsidRDefault="00057EB9" w:rsidP="00057EB9">
      <w:pPr>
        <w:jc w:val="center"/>
        <w:rPr>
          <w:rFonts w:cs="Times New Roman"/>
          <w:szCs w:val="28"/>
        </w:rPr>
      </w:pPr>
      <w:r w:rsidRPr="005565E8">
        <w:rPr>
          <w:rFonts w:cs="Times New Roman"/>
          <w:szCs w:val="28"/>
        </w:rPr>
        <w:t>Рис</w:t>
      </w:r>
      <w:r>
        <w:rPr>
          <w:rFonts w:cs="Times New Roman"/>
          <w:szCs w:val="28"/>
        </w:rPr>
        <w:t>.</w:t>
      </w:r>
      <w:r w:rsidRPr="005565E8">
        <w:rPr>
          <w:rFonts w:cs="Times New Roman"/>
          <w:szCs w:val="28"/>
        </w:rPr>
        <w:t xml:space="preserve"> </w:t>
      </w:r>
      <w:r>
        <w:rPr>
          <w:rFonts w:cs="Times New Roman"/>
          <w:szCs w:val="28"/>
        </w:rPr>
        <w:t>2</w:t>
      </w:r>
      <w:r w:rsidRPr="005565E8">
        <w:rPr>
          <w:rFonts w:cs="Times New Roman"/>
          <w:szCs w:val="28"/>
        </w:rPr>
        <w:t>. Клапан в раскрытом состоянии</w:t>
      </w:r>
    </w:p>
    <w:p w:rsidR="00057EB9" w:rsidRPr="00FC55BE" w:rsidRDefault="00057EB9" w:rsidP="00057EB9">
      <w:pPr>
        <w:ind w:firstLine="708"/>
        <w:rPr>
          <w:rFonts w:cs="Times New Roman"/>
          <w:sz w:val="24"/>
          <w:szCs w:val="24"/>
        </w:rPr>
      </w:pPr>
      <w:r w:rsidRPr="00FC55BE">
        <w:rPr>
          <w:rFonts w:cs="Times New Roman"/>
          <w:sz w:val="24"/>
          <w:szCs w:val="24"/>
        </w:rPr>
        <w:t xml:space="preserve">Примечания: D1 – наружный диаметр раскрытого клапана, измеренный по нижней части, </w:t>
      </w:r>
      <w:proofErr w:type="gramStart"/>
      <w:r w:rsidRPr="00FC55BE">
        <w:rPr>
          <w:rFonts w:cs="Times New Roman"/>
          <w:sz w:val="24"/>
          <w:szCs w:val="24"/>
        </w:rPr>
        <w:t>мм</w:t>
      </w:r>
      <w:proofErr w:type="gramEnd"/>
      <w:r w:rsidRPr="00FC55BE">
        <w:rPr>
          <w:rFonts w:cs="Times New Roman"/>
          <w:sz w:val="24"/>
          <w:szCs w:val="24"/>
        </w:rPr>
        <w:t>; D2 – минимальный наружный диаметр раскрытого клапана, мм; D3 – максимальный наружный диаметр раскрытого клапана, мм; H – высота раскрытого клапана, мм.</w:t>
      </w:r>
    </w:p>
    <w:p w:rsidR="00057EB9" w:rsidRPr="005565E8" w:rsidRDefault="00057EB9" w:rsidP="00057EB9">
      <w:pPr>
        <w:ind w:firstLine="708"/>
        <w:rPr>
          <w:rFonts w:cs="Times New Roman"/>
          <w:szCs w:val="28"/>
        </w:rPr>
      </w:pPr>
      <w:r w:rsidRPr="005565E8">
        <w:rPr>
          <w:rFonts w:cs="Times New Roman"/>
          <w:szCs w:val="28"/>
        </w:rPr>
        <w:t>Общий</w:t>
      </w:r>
      <w:r>
        <w:rPr>
          <w:rFonts w:cs="Times New Roman"/>
          <w:szCs w:val="28"/>
        </w:rPr>
        <w:t xml:space="preserve"> </w:t>
      </w:r>
      <w:r w:rsidRPr="005565E8">
        <w:rPr>
          <w:rFonts w:cs="Times New Roman"/>
          <w:szCs w:val="28"/>
        </w:rPr>
        <w:t xml:space="preserve"> вид системы доставки  представлен на рис. </w:t>
      </w:r>
      <w:r>
        <w:rPr>
          <w:rFonts w:cs="Times New Roman"/>
          <w:szCs w:val="28"/>
        </w:rPr>
        <w:t>3.</w:t>
      </w:r>
      <w:r w:rsidRPr="005565E8">
        <w:rPr>
          <w:rFonts w:cs="Times New Roman"/>
          <w:szCs w:val="28"/>
        </w:rPr>
        <w:t xml:space="preserve"> </w:t>
      </w:r>
    </w:p>
    <w:p w:rsidR="00057EB9" w:rsidRPr="005565E8" w:rsidRDefault="00057EB9" w:rsidP="00057EB9">
      <w:pPr>
        <w:jc w:val="center"/>
        <w:rPr>
          <w:rFonts w:cs="Times New Roman"/>
          <w:szCs w:val="28"/>
        </w:rPr>
      </w:pPr>
      <w:r w:rsidRPr="005565E8">
        <w:rPr>
          <w:rFonts w:cs="Times New Roman"/>
          <w:noProof/>
          <w:szCs w:val="28"/>
          <w:lang w:eastAsia="ru-RU"/>
        </w:rPr>
        <w:drawing>
          <wp:inline distT="0" distB="0" distL="0" distR="0">
            <wp:extent cx="5038725" cy="3000375"/>
            <wp:effectExtent l="19050" t="19050" r="28575" b="28575"/>
            <wp:docPr id="9" name="Рисунок 5" descr="Рис 2 2018 07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 2 2018 07 31"/>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3000375"/>
                    </a:xfrm>
                    <a:prstGeom prst="rect">
                      <a:avLst/>
                    </a:prstGeom>
                    <a:noFill/>
                    <a:ln>
                      <a:solidFill>
                        <a:schemeClr val="tx1"/>
                      </a:solidFill>
                    </a:ln>
                  </pic:spPr>
                </pic:pic>
              </a:graphicData>
            </a:graphic>
          </wp:inline>
        </w:drawing>
      </w:r>
    </w:p>
    <w:p w:rsidR="00057EB9" w:rsidRDefault="00057EB9" w:rsidP="00057EB9">
      <w:pPr>
        <w:jc w:val="center"/>
        <w:rPr>
          <w:rFonts w:cs="Times New Roman"/>
          <w:szCs w:val="28"/>
        </w:rPr>
      </w:pPr>
      <w:r w:rsidRPr="005565E8">
        <w:rPr>
          <w:rFonts w:cs="Times New Roman"/>
          <w:szCs w:val="28"/>
        </w:rPr>
        <w:lastRenderedPageBreak/>
        <w:t>Рис</w:t>
      </w:r>
      <w:r>
        <w:rPr>
          <w:rFonts w:cs="Times New Roman"/>
          <w:szCs w:val="28"/>
        </w:rPr>
        <w:t>.</w:t>
      </w:r>
      <w:r w:rsidRPr="005565E8">
        <w:rPr>
          <w:rFonts w:cs="Times New Roman"/>
          <w:szCs w:val="28"/>
        </w:rPr>
        <w:t xml:space="preserve"> </w:t>
      </w:r>
      <w:r>
        <w:rPr>
          <w:rFonts w:cs="Times New Roman"/>
          <w:szCs w:val="28"/>
        </w:rPr>
        <w:t>3</w:t>
      </w:r>
      <w:r w:rsidRPr="005565E8">
        <w:rPr>
          <w:rFonts w:cs="Times New Roman"/>
          <w:szCs w:val="28"/>
        </w:rPr>
        <w:t>. Система доставки</w:t>
      </w:r>
    </w:p>
    <w:p w:rsidR="00057EB9" w:rsidRPr="00FC55BE" w:rsidRDefault="00057EB9" w:rsidP="00057EB9">
      <w:pPr>
        <w:ind w:firstLine="708"/>
        <w:rPr>
          <w:rFonts w:cs="Times New Roman"/>
          <w:sz w:val="24"/>
          <w:szCs w:val="24"/>
        </w:rPr>
      </w:pPr>
      <w:r w:rsidRPr="00FC55BE">
        <w:rPr>
          <w:rFonts w:cs="Times New Roman"/>
          <w:sz w:val="24"/>
          <w:szCs w:val="24"/>
        </w:rPr>
        <w:t>Примечание: (защитный чехол показан в закрытом состоянии)</w:t>
      </w:r>
    </w:p>
    <w:p w:rsidR="00057EB9" w:rsidRPr="005565E8" w:rsidRDefault="00057EB9" w:rsidP="00057EB9">
      <w:pPr>
        <w:ind w:firstLine="708"/>
        <w:rPr>
          <w:rFonts w:cs="Times New Roman"/>
          <w:szCs w:val="28"/>
        </w:rPr>
      </w:pPr>
      <w:r w:rsidRPr="005565E8">
        <w:rPr>
          <w:rFonts w:cs="Times New Roman"/>
          <w:szCs w:val="28"/>
        </w:rPr>
        <w:t>Дистальная</w:t>
      </w:r>
      <w:r>
        <w:rPr>
          <w:rFonts w:cs="Times New Roman"/>
          <w:szCs w:val="28"/>
        </w:rPr>
        <w:t xml:space="preserve"> </w:t>
      </w:r>
      <w:r w:rsidRPr="005565E8">
        <w:rPr>
          <w:rFonts w:cs="Times New Roman"/>
          <w:szCs w:val="28"/>
        </w:rPr>
        <w:t xml:space="preserve"> часть системы доставки  представлена на рис</w:t>
      </w:r>
      <w:r>
        <w:rPr>
          <w:rFonts w:cs="Times New Roman"/>
          <w:szCs w:val="28"/>
        </w:rPr>
        <w:t>унке</w:t>
      </w:r>
      <w:r w:rsidRPr="005565E8">
        <w:rPr>
          <w:rFonts w:cs="Times New Roman"/>
          <w:szCs w:val="28"/>
        </w:rPr>
        <w:t> </w:t>
      </w:r>
      <w:r>
        <w:rPr>
          <w:rFonts w:cs="Times New Roman"/>
          <w:szCs w:val="28"/>
        </w:rPr>
        <w:t>4.</w:t>
      </w:r>
      <w:r w:rsidRPr="005565E8">
        <w:rPr>
          <w:rFonts w:cs="Times New Roman"/>
          <w:szCs w:val="28"/>
        </w:rPr>
        <w:t xml:space="preserve"> </w:t>
      </w:r>
    </w:p>
    <w:p w:rsidR="00057EB9" w:rsidRPr="005565E8" w:rsidRDefault="00057EB9" w:rsidP="00057EB9">
      <w:pPr>
        <w:rPr>
          <w:rFonts w:cs="Times New Roman"/>
          <w:szCs w:val="28"/>
        </w:rPr>
      </w:pPr>
    </w:p>
    <w:p w:rsidR="00057EB9" w:rsidRPr="005565E8" w:rsidRDefault="00057EB9" w:rsidP="00057EB9">
      <w:pPr>
        <w:jc w:val="center"/>
        <w:rPr>
          <w:rFonts w:cs="Times New Roman"/>
          <w:szCs w:val="28"/>
        </w:rPr>
      </w:pPr>
      <w:r w:rsidRPr="005565E8">
        <w:rPr>
          <w:rFonts w:cs="Times New Roman"/>
          <w:noProof/>
          <w:szCs w:val="28"/>
          <w:lang w:eastAsia="ru-RU"/>
        </w:rPr>
        <w:drawing>
          <wp:inline distT="0" distB="0" distL="0" distR="0">
            <wp:extent cx="5667375" cy="2286000"/>
            <wp:effectExtent l="19050" t="19050" r="28575" b="19050"/>
            <wp:docPr id="10" name="Рисунок 4" descr="Рис 3 2018 07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3 2018 07 3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375" cy="2286000"/>
                    </a:xfrm>
                    <a:prstGeom prst="rect">
                      <a:avLst/>
                    </a:prstGeom>
                    <a:noFill/>
                    <a:ln>
                      <a:solidFill>
                        <a:schemeClr val="tx1"/>
                      </a:solidFill>
                    </a:ln>
                  </pic:spPr>
                </pic:pic>
              </a:graphicData>
            </a:graphic>
          </wp:inline>
        </w:drawing>
      </w:r>
    </w:p>
    <w:p w:rsidR="00057EB9" w:rsidRDefault="00057EB9" w:rsidP="00057EB9">
      <w:pPr>
        <w:jc w:val="center"/>
        <w:rPr>
          <w:rFonts w:cs="Times New Roman"/>
          <w:szCs w:val="28"/>
        </w:rPr>
      </w:pPr>
      <w:r w:rsidRPr="005565E8">
        <w:rPr>
          <w:rFonts w:cs="Times New Roman"/>
          <w:szCs w:val="28"/>
        </w:rPr>
        <w:t>Рис</w:t>
      </w:r>
      <w:r>
        <w:rPr>
          <w:rFonts w:cs="Times New Roman"/>
          <w:szCs w:val="28"/>
        </w:rPr>
        <w:t>.</w:t>
      </w:r>
      <w:r w:rsidRPr="005565E8">
        <w:rPr>
          <w:rFonts w:cs="Times New Roman"/>
          <w:szCs w:val="28"/>
        </w:rPr>
        <w:t xml:space="preserve"> </w:t>
      </w:r>
      <w:r>
        <w:rPr>
          <w:rFonts w:cs="Times New Roman"/>
          <w:szCs w:val="28"/>
        </w:rPr>
        <w:t>4</w:t>
      </w:r>
      <w:r w:rsidRPr="005565E8">
        <w:rPr>
          <w:rFonts w:cs="Times New Roman"/>
          <w:szCs w:val="28"/>
        </w:rPr>
        <w:t>. Дистальная часть системы доставки</w:t>
      </w:r>
    </w:p>
    <w:p w:rsidR="00057EB9" w:rsidRPr="00FC55BE" w:rsidRDefault="00057EB9" w:rsidP="00057EB9">
      <w:pPr>
        <w:ind w:firstLine="708"/>
        <w:rPr>
          <w:rFonts w:cs="Times New Roman"/>
          <w:sz w:val="24"/>
          <w:szCs w:val="24"/>
        </w:rPr>
      </w:pPr>
      <w:r w:rsidRPr="00FC55BE">
        <w:rPr>
          <w:rFonts w:cs="Times New Roman"/>
          <w:sz w:val="24"/>
          <w:szCs w:val="24"/>
        </w:rPr>
        <w:t>Примечание: защитный чехол показан в открытом состоянии.</w:t>
      </w:r>
    </w:p>
    <w:p w:rsidR="00057EB9" w:rsidRPr="005565E8" w:rsidRDefault="00057EB9" w:rsidP="00057EB9">
      <w:pPr>
        <w:ind w:firstLine="708"/>
        <w:rPr>
          <w:rFonts w:cs="Times New Roman"/>
          <w:szCs w:val="28"/>
        </w:rPr>
      </w:pPr>
      <w:r w:rsidRPr="005565E8">
        <w:rPr>
          <w:rFonts w:cs="Times New Roman"/>
          <w:szCs w:val="28"/>
        </w:rPr>
        <w:t>Общий</w:t>
      </w:r>
      <w:r>
        <w:rPr>
          <w:rFonts w:cs="Times New Roman"/>
          <w:szCs w:val="28"/>
        </w:rPr>
        <w:t xml:space="preserve"> </w:t>
      </w:r>
      <w:r w:rsidRPr="005565E8">
        <w:rPr>
          <w:rFonts w:cs="Times New Roman"/>
          <w:szCs w:val="28"/>
        </w:rPr>
        <w:t xml:space="preserve"> вид системы сборки представлен на рис</w:t>
      </w:r>
      <w:r>
        <w:rPr>
          <w:rFonts w:cs="Times New Roman"/>
          <w:szCs w:val="28"/>
        </w:rPr>
        <w:t>унке</w:t>
      </w:r>
      <w:r w:rsidRPr="005565E8">
        <w:rPr>
          <w:rFonts w:cs="Times New Roman"/>
          <w:szCs w:val="28"/>
        </w:rPr>
        <w:t xml:space="preserve"> </w:t>
      </w:r>
      <w:r>
        <w:rPr>
          <w:rFonts w:cs="Times New Roman"/>
          <w:szCs w:val="28"/>
        </w:rPr>
        <w:t>5.</w:t>
      </w:r>
    </w:p>
    <w:p w:rsidR="00057EB9" w:rsidRPr="005565E8" w:rsidRDefault="00057EB9" w:rsidP="00057EB9">
      <w:pPr>
        <w:jc w:val="center"/>
        <w:rPr>
          <w:rFonts w:cs="Times New Roman"/>
          <w:szCs w:val="28"/>
        </w:rPr>
      </w:pPr>
      <w:r w:rsidRPr="005565E8">
        <w:rPr>
          <w:rFonts w:cs="Times New Roman"/>
          <w:noProof/>
          <w:szCs w:val="28"/>
          <w:lang w:eastAsia="ru-RU"/>
        </w:rPr>
        <w:drawing>
          <wp:inline distT="0" distB="0" distL="0" distR="0">
            <wp:extent cx="4829175" cy="2638425"/>
            <wp:effectExtent l="19050" t="19050" r="28575" b="28575"/>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9175" cy="2638425"/>
                    </a:xfrm>
                    <a:prstGeom prst="rect">
                      <a:avLst/>
                    </a:prstGeom>
                    <a:noFill/>
                    <a:ln>
                      <a:solidFill>
                        <a:schemeClr val="tx1"/>
                      </a:solidFill>
                    </a:ln>
                  </pic:spPr>
                </pic:pic>
              </a:graphicData>
            </a:graphic>
          </wp:inline>
        </w:drawing>
      </w:r>
    </w:p>
    <w:p w:rsidR="00057EB9" w:rsidRPr="005565E8" w:rsidRDefault="00057EB9" w:rsidP="00057EB9">
      <w:pPr>
        <w:jc w:val="center"/>
        <w:rPr>
          <w:rFonts w:cs="Times New Roman"/>
          <w:szCs w:val="28"/>
        </w:rPr>
      </w:pPr>
      <w:r w:rsidRPr="005565E8">
        <w:rPr>
          <w:rFonts w:cs="Times New Roman"/>
          <w:szCs w:val="28"/>
        </w:rPr>
        <w:t>Рис</w:t>
      </w:r>
      <w:r>
        <w:rPr>
          <w:rFonts w:cs="Times New Roman"/>
          <w:szCs w:val="28"/>
        </w:rPr>
        <w:t>.</w:t>
      </w:r>
      <w:r w:rsidRPr="005565E8">
        <w:rPr>
          <w:rFonts w:cs="Times New Roman"/>
          <w:szCs w:val="28"/>
        </w:rPr>
        <w:t xml:space="preserve"> </w:t>
      </w:r>
      <w:r>
        <w:rPr>
          <w:rFonts w:cs="Times New Roman"/>
          <w:szCs w:val="28"/>
        </w:rPr>
        <w:t>5</w:t>
      </w:r>
      <w:r w:rsidRPr="005565E8">
        <w:rPr>
          <w:rFonts w:cs="Times New Roman"/>
          <w:szCs w:val="28"/>
        </w:rPr>
        <w:t>. Система сборки</w:t>
      </w:r>
    </w:p>
    <w:p w:rsidR="00057EB9" w:rsidRPr="00FC55BE" w:rsidRDefault="00057EB9" w:rsidP="00057EB9">
      <w:pPr>
        <w:ind w:firstLine="708"/>
        <w:rPr>
          <w:rFonts w:cs="Times New Roman"/>
          <w:sz w:val="24"/>
          <w:szCs w:val="24"/>
        </w:rPr>
      </w:pPr>
      <w:r w:rsidRPr="00FC55BE">
        <w:rPr>
          <w:rFonts w:cs="Times New Roman"/>
          <w:sz w:val="24"/>
          <w:szCs w:val="24"/>
        </w:rPr>
        <w:t>Прмечание: конус К</w:t>
      </w:r>
      <w:proofErr w:type="gramStart"/>
      <w:r w:rsidRPr="00FC55BE">
        <w:rPr>
          <w:rFonts w:cs="Times New Roman"/>
          <w:sz w:val="24"/>
          <w:szCs w:val="24"/>
        </w:rPr>
        <w:t>1</w:t>
      </w:r>
      <w:proofErr w:type="gramEnd"/>
      <w:r w:rsidRPr="00FC55BE">
        <w:rPr>
          <w:rFonts w:cs="Times New Roman"/>
          <w:sz w:val="24"/>
          <w:szCs w:val="24"/>
        </w:rPr>
        <w:t xml:space="preserve"> (с резьбой), конус К2 (безрезьбовой), крышка (с резьбой), трубка Т1, трубка Т2 (с расширенными концами).</w:t>
      </w:r>
    </w:p>
    <w:p w:rsidR="00057EB9" w:rsidRPr="005565E8" w:rsidRDefault="00057EB9" w:rsidP="00057EB9">
      <w:pPr>
        <w:ind w:firstLine="708"/>
        <w:rPr>
          <w:rFonts w:cs="Times New Roman"/>
          <w:szCs w:val="28"/>
        </w:rPr>
      </w:pPr>
      <w:r>
        <w:rPr>
          <w:rFonts w:cs="Times New Roman"/>
          <w:szCs w:val="28"/>
        </w:rPr>
        <w:t>Кроме того,</w:t>
      </w:r>
      <w:r w:rsidRPr="005565E8">
        <w:rPr>
          <w:rFonts w:cs="Times New Roman"/>
          <w:szCs w:val="28"/>
        </w:rPr>
        <w:t xml:space="preserve"> для имплантации клапана</w:t>
      </w:r>
      <w:r>
        <w:rPr>
          <w:rFonts w:cs="Times New Roman"/>
          <w:szCs w:val="28"/>
        </w:rPr>
        <w:t xml:space="preserve"> использовался д</w:t>
      </w:r>
      <w:r w:rsidRPr="005565E8">
        <w:rPr>
          <w:rFonts w:cs="Times New Roman"/>
          <w:szCs w:val="28"/>
        </w:rPr>
        <w:t>иагностический проводник диаметром не более 0,9 мм (0,035'')</w:t>
      </w:r>
      <w:r>
        <w:rPr>
          <w:rFonts w:cs="Times New Roman"/>
          <w:szCs w:val="28"/>
        </w:rPr>
        <w:t xml:space="preserve"> и и</w:t>
      </w:r>
      <w:r w:rsidRPr="005565E8">
        <w:rPr>
          <w:rFonts w:cs="Times New Roman"/>
          <w:szCs w:val="28"/>
        </w:rPr>
        <w:t>нтродьюсер внутренним диаметром не менее 6,1 мм (18 F</w:t>
      </w:r>
      <w:r w:rsidRPr="005565E8">
        <w:rPr>
          <w:rFonts w:cs="Times New Roman"/>
          <w:szCs w:val="28"/>
          <w:lang w:val="en-US"/>
        </w:rPr>
        <w:t>r</w:t>
      </w:r>
      <w:r w:rsidRPr="005565E8">
        <w:rPr>
          <w:rFonts w:cs="Times New Roman"/>
          <w:szCs w:val="28"/>
        </w:rPr>
        <w:t>)</w:t>
      </w:r>
      <w:r>
        <w:rPr>
          <w:rFonts w:cs="Times New Roman"/>
          <w:szCs w:val="28"/>
        </w:rPr>
        <w:t>.</w:t>
      </w:r>
    </w:p>
    <w:p w:rsidR="00057EB9" w:rsidRPr="005565E8" w:rsidRDefault="00057EB9" w:rsidP="00057EB9">
      <w:pPr>
        <w:rPr>
          <w:rFonts w:cs="Times New Roman"/>
          <w:szCs w:val="28"/>
        </w:rPr>
      </w:pPr>
    </w:p>
    <w:p w:rsidR="00057EB9" w:rsidRPr="00A94DB8" w:rsidRDefault="00057EB9" w:rsidP="00057EB9"/>
    <w:p w:rsidR="00057EB9" w:rsidRPr="00AD201E" w:rsidRDefault="00057EB9" w:rsidP="00057EB9">
      <w:pPr>
        <w:jc w:val="center"/>
        <w:rPr>
          <w:b/>
        </w:rPr>
      </w:pPr>
      <w:r w:rsidRPr="00AD201E">
        <w:rPr>
          <w:b/>
        </w:rPr>
        <w:t>2.3. Методы исследования</w:t>
      </w:r>
    </w:p>
    <w:p w:rsidR="00057EB9" w:rsidRPr="00761378" w:rsidRDefault="00057EB9" w:rsidP="00057EB9">
      <w:pPr>
        <w:tabs>
          <w:tab w:val="left" w:pos="1140"/>
        </w:tabs>
        <w:jc w:val="center"/>
        <w:rPr>
          <w:rFonts w:cs="Times New Roman"/>
          <w:b/>
          <w:szCs w:val="28"/>
        </w:rPr>
      </w:pPr>
      <w:bookmarkStart w:id="7" w:name="_Hlk6329772"/>
      <w:r w:rsidRPr="00761378">
        <w:rPr>
          <w:rFonts w:cs="Times New Roman"/>
          <w:b/>
          <w:szCs w:val="28"/>
        </w:rPr>
        <w:t>2.3.1 Подготовка клапана к имплантации</w:t>
      </w:r>
    </w:p>
    <w:p w:rsidR="00057EB9" w:rsidRPr="004C752B" w:rsidRDefault="00057EB9" w:rsidP="00057EB9">
      <w:pPr>
        <w:tabs>
          <w:tab w:val="left" w:pos="1140"/>
        </w:tabs>
        <w:ind w:firstLine="709"/>
        <w:rPr>
          <w:rFonts w:cs="Times New Roman"/>
          <w:szCs w:val="28"/>
        </w:rPr>
      </w:pPr>
      <w:r>
        <w:rPr>
          <w:rFonts w:cs="Times New Roman"/>
          <w:szCs w:val="28"/>
        </w:rPr>
        <w:t>Перед проведением имплантации клапана осуществлялся подбор его</w:t>
      </w:r>
      <w:r w:rsidRPr="004C752B">
        <w:rPr>
          <w:rFonts w:cs="Times New Roman"/>
          <w:szCs w:val="28"/>
        </w:rPr>
        <w:t xml:space="preserve"> размера</w:t>
      </w:r>
      <w:r>
        <w:rPr>
          <w:rFonts w:cs="Times New Roman"/>
          <w:szCs w:val="28"/>
        </w:rPr>
        <w:t>. С этой целью</w:t>
      </w:r>
      <w:r w:rsidRPr="004C752B">
        <w:rPr>
          <w:rFonts w:cs="Times New Roman"/>
          <w:szCs w:val="28"/>
        </w:rPr>
        <w:t xml:space="preserve"> пров</w:t>
      </w:r>
      <w:r>
        <w:rPr>
          <w:rFonts w:cs="Times New Roman"/>
          <w:szCs w:val="28"/>
        </w:rPr>
        <w:t>одились</w:t>
      </w:r>
      <w:r w:rsidRPr="004C752B">
        <w:rPr>
          <w:rFonts w:cs="Times New Roman"/>
          <w:szCs w:val="28"/>
        </w:rPr>
        <w:t xml:space="preserve"> расчеты</w:t>
      </w:r>
      <w:r>
        <w:rPr>
          <w:rFonts w:cs="Times New Roman"/>
          <w:szCs w:val="28"/>
        </w:rPr>
        <w:t xml:space="preserve"> с</w:t>
      </w:r>
      <w:r w:rsidRPr="004C752B">
        <w:rPr>
          <w:rFonts w:cs="Times New Roman"/>
          <w:szCs w:val="28"/>
        </w:rPr>
        <w:t xml:space="preserve"> использ</w:t>
      </w:r>
      <w:r>
        <w:rPr>
          <w:rFonts w:cs="Times New Roman"/>
          <w:szCs w:val="28"/>
        </w:rPr>
        <w:t>ованием</w:t>
      </w:r>
      <w:r w:rsidRPr="004C752B">
        <w:rPr>
          <w:rFonts w:cs="Times New Roman"/>
          <w:szCs w:val="28"/>
        </w:rPr>
        <w:t xml:space="preserve"> данны</w:t>
      </w:r>
      <w:r>
        <w:rPr>
          <w:rFonts w:cs="Times New Roman"/>
          <w:szCs w:val="28"/>
        </w:rPr>
        <w:t>х</w:t>
      </w:r>
      <w:r w:rsidRPr="004C752B">
        <w:rPr>
          <w:rFonts w:cs="Times New Roman"/>
          <w:szCs w:val="28"/>
        </w:rPr>
        <w:t xml:space="preserve"> компьютерной томографии и табл</w:t>
      </w:r>
      <w:r>
        <w:rPr>
          <w:rFonts w:cs="Times New Roman"/>
          <w:szCs w:val="28"/>
        </w:rPr>
        <w:t>ицы</w:t>
      </w:r>
      <w:r w:rsidRPr="004C752B">
        <w:rPr>
          <w:rFonts w:cs="Times New Roman"/>
          <w:szCs w:val="28"/>
        </w:rPr>
        <w:t xml:space="preserve"> </w:t>
      </w:r>
      <w:r>
        <w:rPr>
          <w:rFonts w:cs="Times New Roman"/>
          <w:szCs w:val="28"/>
        </w:rPr>
        <w:t>6</w:t>
      </w:r>
      <w:r w:rsidRPr="004C752B">
        <w:rPr>
          <w:rFonts w:cs="Times New Roman"/>
          <w:szCs w:val="28"/>
        </w:rPr>
        <w:t>.</w:t>
      </w:r>
    </w:p>
    <w:bookmarkEnd w:id="7"/>
    <w:p w:rsidR="00057EB9" w:rsidRPr="004C752B" w:rsidRDefault="00057EB9" w:rsidP="00057EB9">
      <w:pPr>
        <w:keepNext/>
        <w:suppressAutoHyphens/>
        <w:ind w:left="567"/>
        <w:jc w:val="right"/>
        <w:rPr>
          <w:rFonts w:eastAsia="Calibri" w:cs="Times New Roman"/>
          <w:iCs/>
          <w:szCs w:val="28"/>
        </w:rPr>
      </w:pPr>
      <w:r w:rsidRPr="004C752B">
        <w:rPr>
          <w:rFonts w:eastAsia="Calibri" w:cs="Times New Roman"/>
          <w:iCs/>
          <w:szCs w:val="28"/>
        </w:rPr>
        <w:t xml:space="preserve">Таблица </w:t>
      </w:r>
      <w:r>
        <w:rPr>
          <w:rFonts w:eastAsia="Calibri" w:cs="Times New Roman"/>
          <w:iCs/>
          <w:szCs w:val="28"/>
        </w:rPr>
        <w:t>6</w:t>
      </w:r>
    </w:p>
    <w:p w:rsidR="00057EB9" w:rsidRPr="004C752B" w:rsidRDefault="00057EB9" w:rsidP="00057EB9">
      <w:pPr>
        <w:keepNext/>
        <w:suppressAutoHyphens/>
        <w:ind w:left="567"/>
        <w:jc w:val="center"/>
        <w:rPr>
          <w:rFonts w:eastAsia="Calibri" w:cs="Times New Roman"/>
          <w:iCs/>
          <w:szCs w:val="28"/>
        </w:rPr>
      </w:pPr>
      <w:r>
        <w:rPr>
          <w:rFonts w:eastAsia="Calibri" w:cs="Times New Roman"/>
          <w:iCs/>
          <w:szCs w:val="28"/>
        </w:rPr>
        <w:t>Характеристики для подбор размера клапана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6"/>
        <w:gridCol w:w="1843"/>
        <w:gridCol w:w="2410"/>
        <w:gridCol w:w="2500"/>
      </w:tblGrid>
      <w:tr w:rsidR="00057EB9" w:rsidRPr="004C752B" w:rsidTr="00057EB9">
        <w:trPr>
          <w:jc w:val="center"/>
        </w:trPr>
        <w:tc>
          <w:tcPr>
            <w:tcW w:w="1936"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Вид исполнения клапана</w:t>
            </w:r>
          </w:p>
        </w:tc>
        <w:tc>
          <w:tcPr>
            <w:tcW w:w="1843"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 xml:space="preserve">Размер клапана, </w:t>
            </w:r>
            <w:proofErr w:type="gramStart"/>
            <w:r w:rsidRPr="004C752B">
              <w:rPr>
                <w:rFonts w:eastAsia="Calibri" w:cs="Times New Roman"/>
                <w:spacing w:val="-4"/>
                <w:szCs w:val="28"/>
              </w:rPr>
              <w:t>мм</w:t>
            </w:r>
            <w:proofErr w:type="gramEnd"/>
          </w:p>
        </w:tc>
        <w:tc>
          <w:tcPr>
            <w:tcW w:w="2410"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 xml:space="preserve">Диаметр фиброзного кольца, </w:t>
            </w:r>
            <w:proofErr w:type="gramStart"/>
            <w:r w:rsidRPr="004C752B">
              <w:rPr>
                <w:rFonts w:eastAsia="Calibri" w:cs="Times New Roman"/>
                <w:spacing w:val="-4"/>
                <w:szCs w:val="28"/>
              </w:rPr>
              <w:t>мм</w:t>
            </w:r>
            <w:proofErr w:type="gramEnd"/>
          </w:p>
        </w:tc>
        <w:tc>
          <w:tcPr>
            <w:tcW w:w="2500"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 xml:space="preserve">Диаметр восходящей аорты, </w:t>
            </w:r>
            <w:proofErr w:type="gramStart"/>
            <w:r w:rsidRPr="004C752B">
              <w:rPr>
                <w:rFonts w:eastAsia="Calibri" w:cs="Times New Roman"/>
                <w:spacing w:val="-4"/>
                <w:szCs w:val="28"/>
              </w:rPr>
              <w:t>мм</w:t>
            </w:r>
            <w:proofErr w:type="gramEnd"/>
          </w:p>
        </w:tc>
      </w:tr>
      <w:tr w:rsidR="00057EB9" w:rsidRPr="004C752B" w:rsidTr="00057EB9">
        <w:trPr>
          <w:trHeight w:val="454"/>
          <w:jc w:val="center"/>
        </w:trPr>
        <w:tc>
          <w:tcPr>
            <w:tcW w:w="1936"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CV26</w:t>
            </w:r>
          </w:p>
        </w:tc>
        <w:tc>
          <w:tcPr>
            <w:tcW w:w="1843"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26</w:t>
            </w:r>
          </w:p>
        </w:tc>
        <w:tc>
          <w:tcPr>
            <w:tcW w:w="2410"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20 – 23</w:t>
            </w:r>
          </w:p>
        </w:tc>
        <w:tc>
          <w:tcPr>
            <w:tcW w:w="2500"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Не более 40</w:t>
            </w:r>
          </w:p>
        </w:tc>
      </w:tr>
      <w:tr w:rsidR="00057EB9" w:rsidRPr="004C752B" w:rsidTr="00057EB9">
        <w:trPr>
          <w:trHeight w:val="454"/>
          <w:jc w:val="center"/>
        </w:trPr>
        <w:tc>
          <w:tcPr>
            <w:tcW w:w="1936"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CV29</w:t>
            </w:r>
          </w:p>
        </w:tc>
        <w:tc>
          <w:tcPr>
            <w:tcW w:w="1843"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29</w:t>
            </w:r>
          </w:p>
        </w:tc>
        <w:tc>
          <w:tcPr>
            <w:tcW w:w="2410"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23 – 27</w:t>
            </w:r>
          </w:p>
        </w:tc>
        <w:tc>
          <w:tcPr>
            <w:tcW w:w="2500"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Не более 43</w:t>
            </w:r>
          </w:p>
        </w:tc>
      </w:tr>
      <w:tr w:rsidR="00057EB9" w:rsidRPr="004C752B" w:rsidTr="00057EB9">
        <w:trPr>
          <w:trHeight w:val="454"/>
          <w:jc w:val="center"/>
        </w:trPr>
        <w:tc>
          <w:tcPr>
            <w:tcW w:w="1936"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CV31</w:t>
            </w:r>
          </w:p>
        </w:tc>
        <w:tc>
          <w:tcPr>
            <w:tcW w:w="1843"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31</w:t>
            </w:r>
          </w:p>
        </w:tc>
        <w:tc>
          <w:tcPr>
            <w:tcW w:w="2410"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26 – 29</w:t>
            </w:r>
          </w:p>
        </w:tc>
        <w:tc>
          <w:tcPr>
            <w:tcW w:w="2500" w:type="dxa"/>
            <w:shd w:val="clear" w:color="auto" w:fill="auto"/>
            <w:vAlign w:val="center"/>
          </w:tcPr>
          <w:p w:rsidR="00057EB9" w:rsidRPr="004C752B" w:rsidRDefault="00057EB9" w:rsidP="00057EB9">
            <w:pPr>
              <w:suppressAutoHyphens/>
              <w:jc w:val="center"/>
              <w:rPr>
                <w:rFonts w:eastAsia="Calibri" w:cs="Times New Roman"/>
                <w:spacing w:val="-4"/>
                <w:szCs w:val="28"/>
              </w:rPr>
            </w:pPr>
            <w:r w:rsidRPr="004C752B">
              <w:rPr>
                <w:rFonts w:eastAsia="Calibri" w:cs="Times New Roman"/>
                <w:spacing w:val="-4"/>
                <w:szCs w:val="28"/>
              </w:rPr>
              <w:t>Не более 43</w:t>
            </w:r>
          </w:p>
        </w:tc>
      </w:tr>
    </w:tbl>
    <w:p w:rsidR="00057EB9" w:rsidRPr="004C752B" w:rsidRDefault="00057EB9" w:rsidP="00057EB9">
      <w:pPr>
        <w:tabs>
          <w:tab w:val="left" w:pos="1140"/>
        </w:tabs>
        <w:ind w:left="1429"/>
        <w:rPr>
          <w:rFonts w:cs="Times New Roman"/>
          <w:szCs w:val="28"/>
        </w:rPr>
      </w:pPr>
    </w:p>
    <w:p w:rsidR="00057EB9" w:rsidRDefault="00057EB9" w:rsidP="00057EB9">
      <w:pPr>
        <w:tabs>
          <w:tab w:val="left" w:pos="1140"/>
        </w:tabs>
        <w:ind w:firstLine="709"/>
        <w:rPr>
          <w:rFonts w:cs="Times New Roman"/>
          <w:szCs w:val="28"/>
        </w:rPr>
      </w:pPr>
      <w:r w:rsidRPr="004C752B">
        <w:rPr>
          <w:rFonts w:cs="Times New Roman"/>
          <w:szCs w:val="28"/>
        </w:rPr>
        <w:t xml:space="preserve">Перед началом использования осуществляли проверку </w:t>
      </w:r>
      <w:r>
        <w:rPr>
          <w:rFonts w:cs="Times New Roman"/>
          <w:szCs w:val="28"/>
        </w:rPr>
        <w:t>клапана.</w:t>
      </w:r>
      <w:r w:rsidRPr="004C752B">
        <w:rPr>
          <w:rFonts w:cs="Times New Roman"/>
          <w:szCs w:val="28"/>
        </w:rPr>
        <w:t xml:space="preserve"> </w:t>
      </w:r>
      <w:r>
        <w:rPr>
          <w:rFonts w:cs="Times New Roman"/>
          <w:szCs w:val="28"/>
        </w:rPr>
        <w:t>Для этого проводили т</w:t>
      </w:r>
      <w:r w:rsidRPr="004C752B">
        <w:rPr>
          <w:rFonts w:cs="Times New Roman"/>
          <w:szCs w:val="28"/>
        </w:rPr>
        <w:t>щательн</w:t>
      </w:r>
      <w:r>
        <w:rPr>
          <w:rFonts w:cs="Times New Roman"/>
          <w:szCs w:val="28"/>
        </w:rPr>
        <w:t xml:space="preserve">ый осмотр </w:t>
      </w:r>
      <w:r w:rsidRPr="004C752B">
        <w:rPr>
          <w:rFonts w:cs="Times New Roman"/>
          <w:szCs w:val="28"/>
        </w:rPr>
        <w:t xml:space="preserve"> упаковк</w:t>
      </w:r>
      <w:r>
        <w:rPr>
          <w:rFonts w:cs="Times New Roman"/>
          <w:szCs w:val="28"/>
        </w:rPr>
        <w:t>и клапана перед ее вскрытием. Затем клапан и</w:t>
      </w:r>
      <w:r w:rsidRPr="004C752B">
        <w:rPr>
          <w:rFonts w:cs="Times New Roman"/>
          <w:szCs w:val="28"/>
        </w:rPr>
        <w:t>звлек</w:t>
      </w:r>
      <w:r>
        <w:rPr>
          <w:rFonts w:cs="Times New Roman"/>
          <w:szCs w:val="28"/>
        </w:rPr>
        <w:t>али</w:t>
      </w:r>
      <w:r w:rsidRPr="004C752B">
        <w:rPr>
          <w:rFonts w:cs="Times New Roman"/>
          <w:szCs w:val="28"/>
        </w:rPr>
        <w:t xml:space="preserve"> и осм</w:t>
      </w:r>
      <w:r>
        <w:rPr>
          <w:rFonts w:cs="Times New Roman"/>
          <w:szCs w:val="28"/>
        </w:rPr>
        <w:t>атривали</w:t>
      </w:r>
      <w:r w:rsidRPr="004C752B">
        <w:rPr>
          <w:rFonts w:cs="Times New Roman"/>
          <w:szCs w:val="28"/>
        </w:rPr>
        <w:t xml:space="preserve"> на предмет повреждения. </w:t>
      </w:r>
    </w:p>
    <w:p w:rsidR="00057EB9" w:rsidRPr="004C752B" w:rsidRDefault="00057EB9" w:rsidP="00057EB9">
      <w:pPr>
        <w:tabs>
          <w:tab w:val="left" w:pos="1140"/>
        </w:tabs>
        <w:ind w:firstLine="709"/>
        <w:rPr>
          <w:rFonts w:cs="Times New Roman"/>
          <w:szCs w:val="28"/>
        </w:rPr>
      </w:pPr>
      <w:r w:rsidRPr="004C752B">
        <w:rPr>
          <w:rFonts w:cs="Times New Roman"/>
          <w:szCs w:val="28"/>
        </w:rPr>
        <w:t xml:space="preserve">Далее </w:t>
      </w:r>
      <w:bookmarkStart w:id="8" w:name="_Hlk521059406"/>
      <w:r w:rsidRPr="004C752B">
        <w:rPr>
          <w:rFonts w:cs="Times New Roman"/>
          <w:szCs w:val="28"/>
        </w:rPr>
        <w:t>осуществляли</w:t>
      </w:r>
      <w:r>
        <w:rPr>
          <w:rFonts w:cs="Times New Roman"/>
          <w:szCs w:val="28"/>
        </w:rPr>
        <w:t xml:space="preserve"> его</w:t>
      </w:r>
      <w:r w:rsidRPr="004C752B">
        <w:rPr>
          <w:rFonts w:cs="Times New Roman"/>
          <w:szCs w:val="28"/>
        </w:rPr>
        <w:t xml:space="preserve"> промывку</w:t>
      </w:r>
      <w:bookmarkEnd w:id="8"/>
      <w:r w:rsidRPr="004C752B">
        <w:rPr>
          <w:rFonts w:cs="Times New Roman"/>
          <w:szCs w:val="28"/>
        </w:rPr>
        <w:t xml:space="preserve">. После извлечения из упаковки клапан помещали в физиологический раствор. Для этих целей использовали три стерильные емкости с 500 мл физраствора комнатной температуры в каждой. В четвертую емкость наливали </w:t>
      </w:r>
      <w:proofErr w:type="gramStart"/>
      <w:r w:rsidRPr="004C752B">
        <w:rPr>
          <w:rFonts w:cs="Times New Roman"/>
          <w:szCs w:val="28"/>
        </w:rPr>
        <w:t>холодный</w:t>
      </w:r>
      <w:proofErr w:type="gramEnd"/>
      <w:r w:rsidRPr="004C752B">
        <w:rPr>
          <w:rFonts w:cs="Times New Roman"/>
          <w:szCs w:val="28"/>
        </w:rPr>
        <w:t xml:space="preserve"> стерильный физраствор. Температуру </w:t>
      </w:r>
      <w:r>
        <w:rPr>
          <w:rFonts w:cs="Times New Roman"/>
          <w:szCs w:val="28"/>
        </w:rPr>
        <w:t>раствора (</w:t>
      </w:r>
      <w:r w:rsidRPr="004C752B">
        <w:rPr>
          <w:rFonts w:cs="Times New Roman"/>
          <w:szCs w:val="28"/>
        </w:rPr>
        <w:t>от 0 до 6 °C</w:t>
      </w:r>
      <w:r>
        <w:rPr>
          <w:rFonts w:cs="Times New Roman"/>
          <w:szCs w:val="28"/>
        </w:rPr>
        <w:t>)</w:t>
      </w:r>
      <w:r w:rsidRPr="004C752B">
        <w:rPr>
          <w:rFonts w:cs="Times New Roman"/>
          <w:szCs w:val="28"/>
        </w:rPr>
        <w:t xml:space="preserve"> поддерживали в течение всего процесса сборки клапана.</w:t>
      </w:r>
    </w:p>
    <w:p w:rsidR="00057EB9" w:rsidRPr="004C752B" w:rsidRDefault="00057EB9" w:rsidP="00057EB9">
      <w:pPr>
        <w:tabs>
          <w:tab w:val="left" w:pos="1140"/>
        </w:tabs>
        <w:ind w:firstLine="709"/>
        <w:rPr>
          <w:rFonts w:cs="Times New Roman"/>
          <w:szCs w:val="28"/>
        </w:rPr>
      </w:pPr>
      <w:r w:rsidRPr="004C752B">
        <w:rPr>
          <w:rFonts w:cs="Times New Roman"/>
          <w:szCs w:val="28"/>
        </w:rPr>
        <w:t>Процедура отмывки</w:t>
      </w:r>
      <w:r>
        <w:rPr>
          <w:rFonts w:cs="Times New Roman"/>
          <w:szCs w:val="28"/>
        </w:rPr>
        <w:t xml:space="preserve"> осуществлялась в соответствии со следующим алгоритмом</w:t>
      </w:r>
      <w:r w:rsidRPr="004C752B">
        <w:rPr>
          <w:rFonts w:cs="Times New Roman"/>
          <w:szCs w:val="28"/>
        </w:rPr>
        <w:t>:</w:t>
      </w:r>
    </w:p>
    <w:p w:rsidR="00057EB9" w:rsidRPr="004C752B" w:rsidRDefault="00057EB9" w:rsidP="00057EB9">
      <w:pPr>
        <w:tabs>
          <w:tab w:val="left" w:pos="1140"/>
        </w:tabs>
        <w:rPr>
          <w:rFonts w:cs="Times New Roman"/>
          <w:szCs w:val="28"/>
        </w:rPr>
      </w:pPr>
      <w:r w:rsidRPr="004C752B">
        <w:rPr>
          <w:rFonts w:cs="Times New Roman"/>
          <w:szCs w:val="28"/>
        </w:rPr>
        <w:t>1. Клапан погружали в емкость 1 и промывали его в течение 4 минут, используя медленные движения вперед-назад.</w:t>
      </w:r>
    </w:p>
    <w:p w:rsidR="00057EB9" w:rsidRPr="004C752B" w:rsidRDefault="00057EB9" w:rsidP="00057EB9">
      <w:pPr>
        <w:tabs>
          <w:tab w:val="left" w:pos="1140"/>
        </w:tabs>
        <w:rPr>
          <w:rFonts w:cs="Times New Roman"/>
          <w:szCs w:val="28"/>
        </w:rPr>
      </w:pPr>
      <w:r w:rsidRPr="004C752B">
        <w:rPr>
          <w:rFonts w:cs="Times New Roman"/>
          <w:szCs w:val="28"/>
        </w:rPr>
        <w:lastRenderedPageBreak/>
        <w:t>2. Повторяли процедуру промывания клапана в емкости 2 и 3, оставив клапан полностью погруженным в емкости 3.</w:t>
      </w:r>
    </w:p>
    <w:p w:rsidR="00057EB9" w:rsidRPr="004C752B" w:rsidRDefault="00057EB9" w:rsidP="00057EB9">
      <w:pPr>
        <w:tabs>
          <w:tab w:val="left" w:pos="1140"/>
        </w:tabs>
        <w:ind w:firstLine="709"/>
        <w:rPr>
          <w:rFonts w:cs="Times New Roman"/>
          <w:szCs w:val="28"/>
        </w:rPr>
      </w:pPr>
      <w:bookmarkStart w:id="9" w:name="_Hlk521059430"/>
      <w:bookmarkStart w:id="10" w:name="_Hlk6298065"/>
      <w:r>
        <w:rPr>
          <w:rFonts w:cs="Times New Roman"/>
          <w:szCs w:val="28"/>
        </w:rPr>
        <w:t>После промывки осуществляли з</w:t>
      </w:r>
      <w:r w:rsidRPr="00334D7A">
        <w:rPr>
          <w:rFonts w:cs="Times New Roman"/>
          <w:szCs w:val="28"/>
        </w:rPr>
        <w:t>агрузк</w:t>
      </w:r>
      <w:r>
        <w:rPr>
          <w:rFonts w:cs="Times New Roman"/>
          <w:szCs w:val="28"/>
        </w:rPr>
        <w:t>у</w:t>
      </w:r>
      <w:r w:rsidRPr="00334D7A">
        <w:rPr>
          <w:rFonts w:cs="Times New Roman"/>
          <w:szCs w:val="28"/>
        </w:rPr>
        <w:t xml:space="preserve"> клапана в систему доставки с помощью системы сборки</w:t>
      </w:r>
      <w:bookmarkEnd w:id="9"/>
      <w:bookmarkEnd w:id="10"/>
      <w:r>
        <w:rPr>
          <w:rFonts w:cs="Times New Roman"/>
          <w:szCs w:val="28"/>
        </w:rPr>
        <w:t xml:space="preserve">. </w:t>
      </w:r>
      <w:r w:rsidRPr="004C752B">
        <w:rPr>
          <w:rFonts w:cs="Times New Roman"/>
          <w:szCs w:val="28"/>
        </w:rPr>
        <w:t>Клапан и принадлежности системы сборки помещали в емкость с холодным стерильным физиологическим раствором (от 0 до 6 °C).</w:t>
      </w:r>
      <w:r>
        <w:rPr>
          <w:rFonts w:cs="Times New Roman"/>
          <w:szCs w:val="28"/>
        </w:rPr>
        <w:t xml:space="preserve"> </w:t>
      </w:r>
      <w:r w:rsidRPr="004C752B">
        <w:rPr>
          <w:rFonts w:cs="Times New Roman"/>
          <w:szCs w:val="28"/>
        </w:rPr>
        <w:t>С помощью шприца с холодным физиологическим раствором промывали систему доставки через промывочные порты (боковые порты и проксимальный порт).</w:t>
      </w:r>
      <w:bookmarkStart w:id="11" w:name="_Hlk6298356"/>
      <w:bookmarkStart w:id="12" w:name="_Hlk6298113"/>
      <w:r>
        <w:rPr>
          <w:rFonts w:cs="Times New Roman"/>
          <w:szCs w:val="28"/>
        </w:rPr>
        <w:t xml:space="preserve"> Затем п</w:t>
      </w:r>
      <w:r w:rsidRPr="004C752B">
        <w:rPr>
          <w:rFonts w:cs="Times New Roman"/>
          <w:szCs w:val="28"/>
        </w:rPr>
        <w:t>роводили защитный чехол системы доставки через трубку Т</w:t>
      </w:r>
      <w:proofErr w:type="gramStart"/>
      <w:r w:rsidRPr="004C752B">
        <w:rPr>
          <w:rFonts w:cs="Times New Roman"/>
          <w:szCs w:val="28"/>
        </w:rPr>
        <w:t>2</w:t>
      </w:r>
      <w:proofErr w:type="gramEnd"/>
      <w:r w:rsidRPr="004C752B">
        <w:rPr>
          <w:rFonts w:cs="Times New Roman"/>
          <w:szCs w:val="28"/>
        </w:rPr>
        <w:t xml:space="preserve"> с расширенными концами. Оставляли трубку Т</w:t>
      </w:r>
      <w:proofErr w:type="gramStart"/>
      <w:r w:rsidRPr="004C752B">
        <w:rPr>
          <w:rFonts w:cs="Times New Roman"/>
          <w:szCs w:val="28"/>
        </w:rPr>
        <w:t>2</w:t>
      </w:r>
      <w:proofErr w:type="gramEnd"/>
      <w:r w:rsidRPr="004C752B">
        <w:rPr>
          <w:rFonts w:cs="Times New Roman"/>
          <w:szCs w:val="28"/>
        </w:rPr>
        <w:t xml:space="preserve"> с расширенными концами за защитным чехлом в направлении рукоятки (рис. </w:t>
      </w:r>
      <w:r>
        <w:rPr>
          <w:rFonts w:cs="Times New Roman"/>
          <w:szCs w:val="28"/>
        </w:rPr>
        <w:t>6</w:t>
      </w:r>
      <w:r w:rsidRPr="004C752B">
        <w:rPr>
          <w:rFonts w:cs="Times New Roman"/>
          <w:szCs w:val="28"/>
        </w:rPr>
        <w:t>).</w:t>
      </w:r>
      <w:bookmarkEnd w:id="11"/>
    </w:p>
    <w:bookmarkEnd w:id="12"/>
    <w:p w:rsidR="00057EB9" w:rsidRPr="004C752B" w:rsidRDefault="00057EB9" w:rsidP="00057EB9">
      <w:pPr>
        <w:keepNext/>
        <w:tabs>
          <w:tab w:val="left" w:pos="1140"/>
        </w:tabs>
        <w:ind w:firstLine="709"/>
        <w:jc w:val="center"/>
        <w:rPr>
          <w:rFonts w:cs="Times New Roman"/>
          <w:szCs w:val="28"/>
        </w:rPr>
      </w:pPr>
      <w:r w:rsidRPr="004C752B">
        <w:rPr>
          <w:rFonts w:cs="Times New Roman"/>
          <w:noProof/>
          <w:szCs w:val="28"/>
          <w:lang w:eastAsia="ru-RU"/>
        </w:rPr>
        <w:drawing>
          <wp:inline distT="0" distB="0" distL="0" distR="0">
            <wp:extent cx="4953000" cy="1562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0" cy="1562100"/>
                    </a:xfrm>
                    <a:prstGeom prst="rect">
                      <a:avLst/>
                    </a:prstGeom>
                    <a:noFill/>
                    <a:ln>
                      <a:noFill/>
                    </a:ln>
                  </pic:spPr>
                </pic:pic>
              </a:graphicData>
            </a:graphic>
          </wp:inline>
        </w:drawing>
      </w:r>
    </w:p>
    <w:p w:rsidR="00057EB9" w:rsidRPr="00334D7A" w:rsidRDefault="00057EB9" w:rsidP="00057EB9">
      <w:pPr>
        <w:pStyle w:val="ae"/>
        <w:spacing w:line="360" w:lineRule="auto"/>
        <w:jc w:val="center"/>
        <w:rPr>
          <w:b w:val="0"/>
          <w:sz w:val="28"/>
          <w:szCs w:val="28"/>
        </w:rPr>
      </w:pPr>
      <w:r w:rsidRPr="00334D7A">
        <w:rPr>
          <w:b w:val="0"/>
          <w:sz w:val="28"/>
          <w:szCs w:val="28"/>
        </w:rPr>
        <w:t>Рис. 6.</w:t>
      </w:r>
      <w:r w:rsidRPr="004C752B">
        <w:rPr>
          <w:b w:val="0"/>
          <w:sz w:val="28"/>
          <w:szCs w:val="28"/>
        </w:rPr>
        <w:t xml:space="preserve"> Дистальная часть системы доставки (слева) и трубка Т</w:t>
      </w:r>
      <w:proofErr w:type="gramStart"/>
      <w:r w:rsidRPr="004C752B">
        <w:rPr>
          <w:b w:val="0"/>
          <w:sz w:val="28"/>
          <w:szCs w:val="28"/>
        </w:rPr>
        <w:t>2</w:t>
      </w:r>
      <w:proofErr w:type="gramEnd"/>
      <w:r w:rsidRPr="004C752B">
        <w:rPr>
          <w:b w:val="0"/>
          <w:sz w:val="28"/>
          <w:szCs w:val="28"/>
        </w:rPr>
        <w:t xml:space="preserve"> системы сборки (справа)</w:t>
      </w:r>
    </w:p>
    <w:p w:rsidR="00057EB9" w:rsidRPr="004C752B" w:rsidRDefault="00057EB9" w:rsidP="00057EB9">
      <w:pPr>
        <w:tabs>
          <w:tab w:val="left" w:pos="1140"/>
        </w:tabs>
        <w:ind w:firstLine="709"/>
        <w:rPr>
          <w:rFonts w:cs="Times New Roman"/>
          <w:szCs w:val="28"/>
        </w:rPr>
      </w:pPr>
      <w:r>
        <w:rPr>
          <w:rFonts w:cs="Times New Roman"/>
          <w:szCs w:val="28"/>
        </w:rPr>
        <w:t>Затем о</w:t>
      </w:r>
      <w:r w:rsidRPr="004C752B">
        <w:rPr>
          <w:rFonts w:cs="Times New Roman"/>
          <w:szCs w:val="28"/>
        </w:rPr>
        <w:t xml:space="preserve">ткрывали защитный чехол системы доставки, переместив подвижную рукоятку системы доставки к проксимальному концу. Для возможности быстрого перемещения использовали кнопку на рукоятке. Далее </w:t>
      </w:r>
      <w:r>
        <w:rPr>
          <w:rFonts w:cs="Times New Roman"/>
          <w:szCs w:val="28"/>
        </w:rPr>
        <w:t>следовали алгоритму, указанному в инструкции</w:t>
      </w:r>
      <w:r w:rsidRPr="004C752B">
        <w:rPr>
          <w:rFonts w:cs="Times New Roman"/>
          <w:szCs w:val="28"/>
        </w:rPr>
        <w:t>:</w:t>
      </w:r>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t>Аккуратно с</w:t>
      </w:r>
      <w:r>
        <w:rPr>
          <w:rFonts w:cs="Times New Roman"/>
          <w:szCs w:val="28"/>
        </w:rPr>
        <w:t>жимали</w:t>
      </w:r>
      <w:r w:rsidRPr="004C752B">
        <w:rPr>
          <w:rFonts w:cs="Times New Roman"/>
          <w:szCs w:val="28"/>
        </w:rPr>
        <w:t xml:space="preserve"> руками клапан так, чтобы поместить его в конус К</w:t>
      </w:r>
      <w:proofErr w:type="gramStart"/>
      <w:r w:rsidRPr="004C752B">
        <w:rPr>
          <w:rFonts w:cs="Times New Roman"/>
          <w:szCs w:val="28"/>
        </w:rPr>
        <w:t>1</w:t>
      </w:r>
      <w:proofErr w:type="gramEnd"/>
      <w:r w:rsidRPr="004C752B">
        <w:rPr>
          <w:rFonts w:cs="Times New Roman"/>
          <w:szCs w:val="28"/>
        </w:rPr>
        <w:t xml:space="preserve"> (рис. </w:t>
      </w:r>
      <w:r>
        <w:rPr>
          <w:rFonts w:cs="Times New Roman"/>
          <w:szCs w:val="28"/>
        </w:rPr>
        <w:t>7</w:t>
      </w:r>
      <w:r w:rsidRPr="004C752B">
        <w:rPr>
          <w:rFonts w:cs="Times New Roman"/>
          <w:szCs w:val="28"/>
        </w:rPr>
        <w:t>).</w:t>
      </w:r>
    </w:p>
    <w:p w:rsidR="00057EB9" w:rsidRPr="004C752B" w:rsidRDefault="00057EB9" w:rsidP="00057EB9">
      <w:pPr>
        <w:keepNext/>
        <w:tabs>
          <w:tab w:val="left" w:pos="1140"/>
        </w:tabs>
        <w:ind w:firstLine="709"/>
        <w:jc w:val="center"/>
        <w:rPr>
          <w:rFonts w:cs="Times New Roman"/>
          <w:szCs w:val="28"/>
        </w:rPr>
      </w:pPr>
      <w:r w:rsidRPr="004C752B">
        <w:rPr>
          <w:rFonts w:cs="Times New Roman"/>
          <w:noProof/>
          <w:szCs w:val="28"/>
          <w:lang w:eastAsia="ru-RU"/>
        </w:rPr>
        <w:lastRenderedPageBreak/>
        <w:drawing>
          <wp:inline distT="0" distB="0" distL="0" distR="0">
            <wp:extent cx="3867150" cy="1981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0" cy="1981200"/>
                    </a:xfrm>
                    <a:prstGeom prst="rect">
                      <a:avLst/>
                    </a:prstGeom>
                    <a:noFill/>
                    <a:ln>
                      <a:noFill/>
                    </a:ln>
                  </pic:spPr>
                </pic:pic>
              </a:graphicData>
            </a:graphic>
          </wp:inline>
        </w:drawing>
      </w:r>
    </w:p>
    <w:p w:rsidR="00057EB9" w:rsidRPr="004C752B" w:rsidRDefault="00057EB9" w:rsidP="00057EB9">
      <w:pPr>
        <w:pStyle w:val="ae"/>
        <w:jc w:val="center"/>
        <w:rPr>
          <w:b w:val="0"/>
          <w:sz w:val="28"/>
          <w:szCs w:val="28"/>
        </w:rPr>
      </w:pPr>
      <w:r w:rsidRPr="00334D7A">
        <w:rPr>
          <w:b w:val="0"/>
          <w:sz w:val="28"/>
          <w:szCs w:val="28"/>
        </w:rPr>
        <w:t>Рис. 7.</w:t>
      </w:r>
      <w:r w:rsidRPr="004C752B">
        <w:rPr>
          <w:sz w:val="28"/>
          <w:szCs w:val="28"/>
        </w:rPr>
        <w:t xml:space="preserve"> </w:t>
      </w:r>
      <w:r w:rsidRPr="004C752B">
        <w:rPr>
          <w:b w:val="0"/>
          <w:sz w:val="28"/>
          <w:szCs w:val="28"/>
        </w:rPr>
        <w:t>Начальный этап загрузки клапана в конус К</w:t>
      </w:r>
      <w:proofErr w:type="gramStart"/>
      <w:r w:rsidRPr="004C752B">
        <w:rPr>
          <w:b w:val="0"/>
          <w:sz w:val="28"/>
          <w:szCs w:val="28"/>
        </w:rPr>
        <w:t>1</w:t>
      </w:r>
      <w:proofErr w:type="gramEnd"/>
      <w:r w:rsidRPr="004C752B">
        <w:rPr>
          <w:b w:val="0"/>
          <w:sz w:val="28"/>
          <w:szCs w:val="28"/>
        </w:rPr>
        <w:t xml:space="preserve"> системы сборки</w:t>
      </w:r>
    </w:p>
    <w:p w:rsidR="00057EB9" w:rsidRPr="004C752B" w:rsidRDefault="00057EB9" w:rsidP="00057EB9">
      <w:pPr>
        <w:tabs>
          <w:tab w:val="left" w:pos="1140"/>
        </w:tabs>
        <w:ind w:left="1069"/>
        <w:rPr>
          <w:rFonts w:cs="Times New Roman"/>
          <w:szCs w:val="28"/>
        </w:rPr>
      </w:pPr>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t>Медленно продолжа</w:t>
      </w:r>
      <w:r>
        <w:rPr>
          <w:rFonts w:cs="Times New Roman"/>
          <w:szCs w:val="28"/>
        </w:rPr>
        <w:t>ли</w:t>
      </w:r>
      <w:r w:rsidRPr="004C752B">
        <w:rPr>
          <w:rFonts w:cs="Times New Roman"/>
          <w:szCs w:val="28"/>
        </w:rPr>
        <w:t xml:space="preserve"> продвигать клапан в конус К</w:t>
      </w:r>
      <w:proofErr w:type="gramStart"/>
      <w:r w:rsidRPr="004C752B">
        <w:rPr>
          <w:rFonts w:cs="Times New Roman"/>
          <w:szCs w:val="28"/>
        </w:rPr>
        <w:t>1</w:t>
      </w:r>
      <w:proofErr w:type="gramEnd"/>
      <w:r w:rsidRPr="004C752B">
        <w:rPr>
          <w:rFonts w:cs="Times New Roman"/>
          <w:szCs w:val="28"/>
        </w:rPr>
        <w:t>. После полной загрузки клапана закреп</w:t>
      </w:r>
      <w:r>
        <w:rPr>
          <w:rFonts w:cs="Times New Roman"/>
          <w:szCs w:val="28"/>
        </w:rPr>
        <w:t>ляли</w:t>
      </w:r>
      <w:r w:rsidRPr="004C752B">
        <w:rPr>
          <w:rFonts w:cs="Times New Roman"/>
          <w:szCs w:val="28"/>
        </w:rPr>
        <w:t xml:space="preserve"> на конусе крышку (рис. </w:t>
      </w:r>
      <w:r>
        <w:rPr>
          <w:rFonts w:cs="Times New Roman"/>
          <w:szCs w:val="28"/>
        </w:rPr>
        <w:t>8</w:t>
      </w:r>
      <w:r w:rsidRPr="004C752B">
        <w:rPr>
          <w:rFonts w:cs="Times New Roman"/>
          <w:szCs w:val="28"/>
        </w:rPr>
        <w:t>).</w:t>
      </w:r>
    </w:p>
    <w:p w:rsidR="00057EB9" w:rsidRPr="004C752B" w:rsidRDefault="00057EB9" w:rsidP="00057EB9">
      <w:pPr>
        <w:keepNext/>
        <w:tabs>
          <w:tab w:val="left" w:pos="1140"/>
        </w:tabs>
        <w:ind w:firstLine="709"/>
        <w:jc w:val="center"/>
        <w:rPr>
          <w:rFonts w:cs="Times New Roman"/>
          <w:noProof/>
          <w:szCs w:val="28"/>
        </w:rPr>
      </w:pPr>
      <w:r w:rsidRPr="004C752B">
        <w:rPr>
          <w:rFonts w:cs="Times New Roman"/>
          <w:noProof/>
          <w:szCs w:val="28"/>
          <w:lang w:eastAsia="ru-RU"/>
        </w:rPr>
        <w:drawing>
          <wp:inline distT="0" distB="0" distL="0" distR="0">
            <wp:extent cx="3810000" cy="1981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1981200"/>
                    </a:xfrm>
                    <a:prstGeom prst="rect">
                      <a:avLst/>
                    </a:prstGeom>
                    <a:noFill/>
                    <a:ln>
                      <a:noFill/>
                    </a:ln>
                  </pic:spPr>
                </pic:pic>
              </a:graphicData>
            </a:graphic>
          </wp:inline>
        </w:drawing>
      </w:r>
    </w:p>
    <w:p w:rsidR="00057EB9" w:rsidRPr="00334D7A" w:rsidRDefault="00057EB9" w:rsidP="00057EB9">
      <w:pPr>
        <w:pStyle w:val="ae"/>
        <w:spacing w:line="360" w:lineRule="auto"/>
        <w:jc w:val="center"/>
        <w:rPr>
          <w:b w:val="0"/>
          <w:sz w:val="28"/>
          <w:szCs w:val="28"/>
        </w:rPr>
      </w:pPr>
      <w:r w:rsidRPr="00334D7A">
        <w:rPr>
          <w:b w:val="0"/>
          <w:sz w:val="28"/>
          <w:szCs w:val="28"/>
        </w:rPr>
        <w:t>Рис. 8.</w:t>
      </w:r>
      <w:r w:rsidRPr="004C752B">
        <w:rPr>
          <w:b w:val="0"/>
          <w:sz w:val="28"/>
          <w:szCs w:val="28"/>
        </w:rPr>
        <w:t xml:space="preserve"> Окончание загрузки клапана в конус К</w:t>
      </w:r>
      <w:proofErr w:type="gramStart"/>
      <w:r w:rsidRPr="004C752B">
        <w:rPr>
          <w:b w:val="0"/>
          <w:sz w:val="28"/>
          <w:szCs w:val="28"/>
        </w:rPr>
        <w:t>1</w:t>
      </w:r>
      <w:proofErr w:type="gramEnd"/>
      <w:r w:rsidRPr="004C752B">
        <w:rPr>
          <w:b w:val="0"/>
          <w:sz w:val="28"/>
          <w:szCs w:val="28"/>
        </w:rPr>
        <w:t xml:space="preserve"> системы сборки</w:t>
      </w:r>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t>Встав</w:t>
      </w:r>
      <w:r>
        <w:rPr>
          <w:rFonts w:cs="Times New Roman"/>
          <w:szCs w:val="28"/>
        </w:rPr>
        <w:t>ляли</w:t>
      </w:r>
      <w:r w:rsidRPr="004C752B">
        <w:rPr>
          <w:rFonts w:cs="Times New Roman"/>
          <w:szCs w:val="28"/>
        </w:rPr>
        <w:t xml:space="preserve"> в крышку конуса прямую трубку Т</w:t>
      </w:r>
      <w:proofErr w:type="gramStart"/>
      <w:r w:rsidRPr="004C752B">
        <w:rPr>
          <w:rFonts w:cs="Times New Roman"/>
          <w:szCs w:val="28"/>
        </w:rPr>
        <w:t>1</w:t>
      </w:r>
      <w:proofErr w:type="gramEnd"/>
      <w:r w:rsidRPr="004C752B">
        <w:rPr>
          <w:rFonts w:cs="Times New Roman"/>
          <w:szCs w:val="28"/>
        </w:rPr>
        <w:t xml:space="preserve"> (рис. </w:t>
      </w:r>
      <w:r>
        <w:rPr>
          <w:rFonts w:cs="Times New Roman"/>
          <w:szCs w:val="28"/>
        </w:rPr>
        <w:t>9</w:t>
      </w:r>
      <w:r w:rsidRPr="004C752B">
        <w:rPr>
          <w:rFonts w:cs="Times New Roman"/>
          <w:szCs w:val="28"/>
        </w:rPr>
        <w:t xml:space="preserve">). </w:t>
      </w:r>
      <w:r>
        <w:rPr>
          <w:rFonts w:cs="Times New Roman"/>
          <w:szCs w:val="28"/>
        </w:rPr>
        <w:t>Затем п</w:t>
      </w:r>
      <w:r w:rsidRPr="004C752B">
        <w:rPr>
          <w:rFonts w:cs="Times New Roman"/>
          <w:szCs w:val="28"/>
        </w:rPr>
        <w:t>родолжа</w:t>
      </w:r>
      <w:r>
        <w:rPr>
          <w:rFonts w:cs="Times New Roman"/>
          <w:szCs w:val="28"/>
        </w:rPr>
        <w:t>ли</w:t>
      </w:r>
      <w:r w:rsidRPr="004C752B">
        <w:rPr>
          <w:rFonts w:cs="Times New Roman"/>
          <w:szCs w:val="28"/>
        </w:rPr>
        <w:t xml:space="preserve"> продвигать прямую трубку Т</w:t>
      </w:r>
      <w:proofErr w:type="gramStart"/>
      <w:r w:rsidRPr="004C752B">
        <w:rPr>
          <w:rFonts w:cs="Times New Roman"/>
          <w:szCs w:val="28"/>
        </w:rPr>
        <w:t>1</w:t>
      </w:r>
      <w:proofErr w:type="gramEnd"/>
      <w:r w:rsidRPr="004C752B">
        <w:rPr>
          <w:rFonts w:cs="Times New Roman"/>
          <w:szCs w:val="28"/>
        </w:rPr>
        <w:t xml:space="preserve"> до момента, пока не будут раздвинуты петли каркаса клапана.</w:t>
      </w:r>
    </w:p>
    <w:p w:rsidR="00057EB9" w:rsidRPr="004C752B" w:rsidRDefault="00057EB9" w:rsidP="00057EB9">
      <w:pPr>
        <w:keepNext/>
        <w:tabs>
          <w:tab w:val="left" w:pos="1140"/>
        </w:tabs>
        <w:ind w:firstLine="709"/>
        <w:jc w:val="center"/>
        <w:rPr>
          <w:rFonts w:cs="Times New Roman"/>
          <w:noProof/>
          <w:szCs w:val="28"/>
        </w:rPr>
      </w:pPr>
      <w:r w:rsidRPr="004C752B">
        <w:rPr>
          <w:rFonts w:cs="Times New Roman"/>
          <w:noProof/>
          <w:szCs w:val="28"/>
          <w:lang w:eastAsia="ru-RU"/>
        </w:rPr>
        <w:drawing>
          <wp:inline distT="0" distB="0" distL="0" distR="0">
            <wp:extent cx="5010150" cy="16859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0150" cy="1685925"/>
                    </a:xfrm>
                    <a:prstGeom prst="rect">
                      <a:avLst/>
                    </a:prstGeom>
                    <a:noFill/>
                    <a:ln>
                      <a:noFill/>
                    </a:ln>
                  </pic:spPr>
                </pic:pic>
              </a:graphicData>
            </a:graphic>
          </wp:inline>
        </w:drawing>
      </w:r>
    </w:p>
    <w:p w:rsidR="00057EB9" w:rsidRPr="004C752B" w:rsidRDefault="00057EB9" w:rsidP="00057EB9">
      <w:pPr>
        <w:pStyle w:val="ae"/>
        <w:spacing w:line="360" w:lineRule="auto"/>
        <w:jc w:val="center"/>
        <w:rPr>
          <w:sz w:val="28"/>
          <w:szCs w:val="28"/>
        </w:rPr>
      </w:pPr>
      <w:r w:rsidRPr="00334D7A">
        <w:rPr>
          <w:b w:val="0"/>
          <w:sz w:val="28"/>
          <w:szCs w:val="28"/>
        </w:rPr>
        <w:t>Рис. 9.</w:t>
      </w:r>
      <w:r w:rsidRPr="004C752B">
        <w:rPr>
          <w:sz w:val="28"/>
          <w:szCs w:val="28"/>
        </w:rPr>
        <w:t xml:space="preserve"> </w:t>
      </w:r>
      <w:bookmarkStart w:id="13" w:name="_Hlk6299124"/>
      <w:r w:rsidRPr="004C752B">
        <w:rPr>
          <w:b w:val="0"/>
          <w:sz w:val="28"/>
          <w:szCs w:val="28"/>
        </w:rPr>
        <w:t>Дистракция каркаса клапана трубкой Т</w:t>
      </w:r>
      <w:proofErr w:type="gramStart"/>
      <w:r w:rsidRPr="004C752B">
        <w:rPr>
          <w:b w:val="0"/>
          <w:sz w:val="28"/>
          <w:szCs w:val="28"/>
        </w:rPr>
        <w:t>1</w:t>
      </w:r>
      <w:bookmarkEnd w:id="13"/>
      <w:proofErr w:type="gramEnd"/>
    </w:p>
    <w:p w:rsidR="00057EB9" w:rsidRPr="004C752B" w:rsidRDefault="00057EB9" w:rsidP="00057EB9">
      <w:pPr>
        <w:numPr>
          <w:ilvl w:val="0"/>
          <w:numId w:val="10"/>
        </w:numPr>
        <w:ind w:left="0" w:firstLine="0"/>
        <w:rPr>
          <w:rFonts w:cs="Times New Roman"/>
          <w:szCs w:val="28"/>
        </w:rPr>
      </w:pPr>
      <w:bookmarkStart w:id="14" w:name="_Hlk6303542"/>
      <w:r w:rsidRPr="004C752B">
        <w:rPr>
          <w:rFonts w:cs="Times New Roman"/>
          <w:szCs w:val="28"/>
        </w:rPr>
        <w:lastRenderedPageBreak/>
        <w:t>Встав</w:t>
      </w:r>
      <w:r>
        <w:rPr>
          <w:rFonts w:cs="Times New Roman"/>
          <w:szCs w:val="28"/>
        </w:rPr>
        <w:t>ляли</w:t>
      </w:r>
      <w:r w:rsidRPr="004C752B">
        <w:rPr>
          <w:rFonts w:cs="Times New Roman"/>
          <w:szCs w:val="28"/>
        </w:rPr>
        <w:t xml:space="preserve"> атравматический кончик центрального шафта в прямую трубку T1, которая выступает из конуса К</w:t>
      </w:r>
      <w:proofErr w:type="gramStart"/>
      <w:r w:rsidRPr="004C752B">
        <w:rPr>
          <w:rFonts w:cs="Times New Roman"/>
          <w:szCs w:val="28"/>
        </w:rPr>
        <w:t>1</w:t>
      </w:r>
      <w:proofErr w:type="gramEnd"/>
      <w:r w:rsidRPr="004C752B">
        <w:rPr>
          <w:rFonts w:cs="Times New Roman"/>
          <w:szCs w:val="28"/>
        </w:rPr>
        <w:t xml:space="preserve"> (рис. </w:t>
      </w:r>
      <w:r>
        <w:rPr>
          <w:rFonts w:cs="Times New Roman"/>
          <w:szCs w:val="28"/>
        </w:rPr>
        <w:t>10</w:t>
      </w:r>
      <w:r w:rsidRPr="004C752B">
        <w:rPr>
          <w:rFonts w:cs="Times New Roman"/>
          <w:szCs w:val="28"/>
        </w:rPr>
        <w:t>).</w:t>
      </w:r>
    </w:p>
    <w:bookmarkEnd w:id="14"/>
    <w:p w:rsidR="00057EB9" w:rsidRPr="004C752B" w:rsidRDefault="00057EB9" w:rsidP="00057EB9">
      <w:pPr>
        <w:keepNext/>
        <w:tabs>
          <w:tab w:val="left" w:pos="1140"/>
        </w:tabs>
        <w:ind w:firstLine="709"/>
        <w:jc w:val="center"/>
        <w:rPr>
          <w:rFonts w:cs="Times New Roman"/>
          <w:noProof/>
          <w:szCs w:val="28"/>
        </w:rPr>
      </w:pPr>
      <w:r w:rsidRPr="004C752B">
        <w:rPr>
          <w:rFonts w:cs="Times New Roman"/>
          <w:noProof/>
          <w:szCs w:val="28"/>
          <w:lang w:eastAsia="ru-RU"/>
        </w:rPr>
        <w:drawing>
          <wp:inline distT="0" distB="0" distL="0" distR="0">
            <wp:extent cx="5276850" cy="16383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850" cy="1638300"/>
                    </a:xfrm>
                    <a:prstGeom prst="rect">
                      <a:avLst/>
                    </a:prstGeom>
                    <a:noFill/>
                    <a:ln>
                      <a:noFill/>
                    </a:ln>
                  </pic:spPr>
                </pic:pic>
              </a:graphicData>
            </a:graphic>
          </wp:inline>
        </w:drawing>
      </w:r>
    </w:p>
    <w:p w:rsidR="00057EB9" w:rsidRPr="004C752B" w:rsidRDefault="00057EB9" w:rsidP="00057EB9">
      <w:pPr>
        <w:pStyle w:val="ae"/>
        <w:spacing w:line="360" w:lineRule="auto"/>
        <w:jc w:val="center"/>
        <w:rPr>
          <w:b w:val="0"/>
          <w:sz w:val="28"/>
          <w:szCs w:val="28"/>
        </w:rPr>
      </w:pPr>
      <w:r w:rsidRPr="00334D7A">
        <w:rPr>
          <w:b w:val="0"/>
          <w:sz w:val="28"/>
          <w:szCs w:val="28"/>
        </w:rPr>
        <w:t>Рис. 10.</w:t>
      </w:r>
      <w:r w:rsidRPr="004C752B">
        <w:rPr>
          <w:sz w:val="28"/>
          <w:szCs w:val="28"/>
        </w:rPr>
        <w:t xml:space="preserve"> </w:t>
      </w:r>
      <w:r w:rsidRPr="004C752B">
        <w:rPr>
          <w:b w:val="0"/>
          <w:sz w:val="28"/>
          <w:szCs w:val="28"/>
        </w:rPr>
        <w:t>Введение атравматического кончика системы доставки в трубку Т</w:t>
      </w:r>
      <w:proofErr w:type="gramStart"/>
      <w:r w:rsidRPr="004C752B">
        <w:rPr>
          <w:b w:val="0"/>
          <w:sz w:val="28"/>
          <w:szCs w:val="28"/>
        </w:rPr>
        <w:t>1</w:t>
      </w:r>
      <w:proofErr w:type="gramEnd"/>
      <w:r w:rsidRPr="004C752B">
        <w:rPr>
          <w:b w:val="0"/>
          <w:sz w:val="28"/>
          <w:szCs w:val="28"/>
        </w:rPr>
        <w:t xml:space="preserve"> системы сборки</w:t>
      </w:r>
    </w:p>
    <w:p w:rsidR="00057EB9" w:rsidRPr="004C752B" w:rsidRDefault="00057EB9" w:rsidP="00057EB9">
      <w:pPr>
        <w:tabs>
          <w:tab w:val="left" w:pos="1140"/>
        </w:tabs>
        <w:ind w:left="1069"/>
        <w:jc w:val="center"/>
        <w:rPr>
          <w:rFonts w:cs="Times New Roman"/>
          <w:szCs w:val="28"/>
        </w:rPr>
      </w:pPr>
    </w:p>
    <w:p w:rsidR="00057EB9" w:rsidRDefault="00057EB9" w:rsidP="00057EB9">
      <w:pPr>
        <w:numPr>
          <w:ilvl w:val="0"/>
          <w:numId w:val="10"/>
        </w:numPr>
        <w:tabs>
          <w:tab w:val="left" w:pos="774"/>
        </w:tabs>
        <w:ind w:left="0" w:firstLine="0"/>
        <w:rPr>
          <w:rFonts w:cs="Times New Roman"/>
          <w:szCs w:val="28"/>
        </w:rPr>
      </w:pPr>
      <w:r w:rsidRPr="004C752B">
        <w:rPr>
          <w:rFonts w:cs="Times New Roman"/>
          <w:szCs w:val="28"/>
        </w:rPr>
        <w:t>Сдвига</w:t>
      </w:r>
      <w:r>
        <w:rPr>
          <w:rFonts w:cs="Times New Roman"/>
          <w:szCs w:val="28"/>
        </w:rPr>
        <w:t>ли</w:t>
      </w:r>
      <w:r w:rsidRPr="004C752B">
        <w:rPr>
          <w:rFonts w:cs="Times New Roman"/>
          <w:szCs w:val="28"/>
        </w:rPr>
        <w:t>атравматический кончик центрального шафта вперед к клапану и одновременно отв</w:t>
      </w:r>
      <w:r>
        <w:rPr>
          <w:rFonts w:cs="Times New Roman"/>
          <w:szCs w:val="28"/>
        </w:rPr>
        <w:t>одили</w:t>
      </w:r>
      <w:r w:rsidRPr="004C752B">
        <w:rPr>
          <w:rFonts w:cs="Times New Roman"/>
          <w:szCs w:val="28"/>
        </w:rPr>
        <w:t xml:space="preserve"> прямую трубку T1 назад так, чтобы соединить обнажившиеся петли каркаса клапана с замком крепления клапана. Вращая подвижную рукоятку системы доставки, </w:t>
      </w:r>
      <w:r>
        <w:rPr>
          <w:rFonts w:cs="Times New Roman"/>
          <w:szCs w:val="28"/>
        </w:rPr>
        <w:t>прятали</w:t>
      </w:r>
      <w:r w:rsidRPr="004C752B">
        <w:rPr>
          <w:rFonts w:cs="Times New Roman"/>
          <w:szCs w:val="28"/>
        </w:rPr>
        <w:t xml:space="preserve"> петли каркаса клапана в защитный чехол и убе</w:t>
      </w:r>
      <w:r>
        <w:rPr>
          <w:rFonts w:cs="Times New Roman"/>
          <w:szCs w:val="28"/>
        </w:rPr>
        <w:t>ждались</w:t>
      </w:r>
      <w:r w:rsidRPr="004C752B">
        <w:rPr>
          <w:rFonts w:cs="Times New Roman"/>
          <w:szCs w:val="28"/>
        </w:rPr>
        <w:t>, что петли остаются в зац</w:t>
      </w:r>
      <w:r>
        <w:rPr>
          <w:rFonts w:cs="Times New Roman"/>
          <w:szCs w:val="28"/>
        </w:rPr>
        <w:t>еплении со штырьками замка. Убеждались</w:t>
      </w:r>
      <w:r w:rsidRPr="004C752B">
        <w:rPr>
          <w:rFonts w:cs="Times New Roman"/>
          <w:szCs w:val="28"/>
        </w:rPr>
        <w:t>, что ламели каркаса клапана не загнулись и распределены равномерно по окружности. После этого продолжа</w:t>
      </w:r>
      <w:r>
        <w:rPr>
          <w:rFonts w:cs="Times New Roman"/>
          <w:szCs w:val="28"/>
        </w:rPr>
        <w:t xml:space="preserve">ли </w:t>
      </w:r>
      <w:r w:rsidRPr="004C752B">
        <w:rPr>
          <w:rFonts w:cs="Times New Roman"/>
          <w:szCs w:val="28"/>
        </w:rPr>
        <w:t>продвигать защитный чехол вперед к клапану до начала корон каркаса клапана, не забывая немного вытягивать прямую трубку Т</w:t>
      </w:r>
      <w:proofErr w:type="gramStart"/>
      <w:r w:rsidRPr="004C752B">
        <w:rPr>
          <w:rFonts w:cs="Times New Roman"/>
          <w:szCs w:val="28"/>
        </w:rPr>
        <w:t>1</w:t>
      </w:r>
      <w:proofErr w:type="gramEnd"/>
      <w:r w:rsidRPr="004C752B">
        <w:rPr>
          <w:rFonts w:cs="Times New Roman"/>
          <w:szCs w:val="28"/>
        </w:rPr>
        <w:t>.</w:t>
      </w:r>
    </w:p>
    <w:p w:rsidR="00057EB9" w:rsidRPr="00334D7A" w:rsidRDefault="00057EB9" w:rsidP="00057EB9">
      <w:pPr>
        <w:numPr>
          <w:ilvl w:val="0"/>
          <w:numId w:val="10"/>
        </w:numPr>
        <w:tabs>
          <w:tab w:val="left" w:pos="774"/>
        </w:tabs>
        <w:ind w:left="0" w:firstLine="0"/>
        <w:rPr>
          <w:rFonts w:cs="Times New Roman"/>
          <w:szCs w:val="28"/>
        </w:rPr>
      </w:pPr>
      <w:r w:rsidRPr="00334D7A">
        <w:rPr>
          <w:rFonts w:cs="Times New Roman"/>
          <w:szCs w:val="28"/>
        </w:rPr>
        <w:t>Как только защитный чехол до</w:t>
      </w:r>
      <w:r>
        <w:rPr>
          <w:rFonts w:cs="Times New Roman"/>
          <w:szCs w:val="28"/>
        </w:rPr>
        <w:t xml:space="preserve">ходил </w:t>
      </w:r>
      <w:r w:rsidRPr="00334D7A">
        <w:rPr>
          <w:rFonts w:cs="Times New Roman"/>
          <w:szCs w:val="28"/>
        </w:rPr>
        <w:t xml:space="preserve">до верхней части </w:t>
      </w:r>
      <w:proofErr w:type="gramStart"/>
      <w:r w:rsidRPr="00334D7A">
        <w:rPr>
          <w:rFonts w:cs="Times New Roman"/>
          <w:szCs w:val="28"/>
        </w:rPr>
        <w:t>корон</w:t>
      </w:r>
      <w:proofErr w:type="gramEnd"/>
      <w:r w:rsidRPr="00334D7A">
        <w:rPr>
          <w:rFonts w:cs="Times New Roman"/>
          <w:szCs w:val="28"/>
        </w:rPr>
        <w:t xml:space="preserve"> клапана убе</w:t>
      </w:r>
      <w:r>
        <w:rPr>
          <w:rFonts w:cs="Times New Roman"/>
          <w:szCs w:val="28"/>
        </w:rPr>
        <w:t xml:space="preserve">ждались </w:t>
      </w:r>
      <w:r w:rsidRPr="00334D7A">
        <w:rPr>
          <w:rFonts w:cs="Times New Roman"/>
          <w:szCs w:val="28"/>
        </w:rPr>
        <w:t>в том, что он не упирается в данные элементы и сможет беспрепятственно на них надвинуться. После этого продолж</w:t>
      </w:r>
      <w:r>
        <w:rPr>
          <w:rFonts w:cs="Times New Roman"/>
          <w:szCs w:val="28"/>
        </w:rPr>
        <w:t xml:space="preserve">али </w:t>
      </w:r>
      <w:r w:rsidRPr="00334D7A">
        <w:rPr>
          <w:rFonts w:cs="Times New Roman"/>
          <w:szCs w:val="28"/>
        </w:rPr>
        <w:t>перемещать защитный чехол, вращая подвижную часть ручки системы доставки. Еще раз убе</w:t>
      </w:r>
      <w:r>
        <w:rPr>
          <w:rFonts w:cs="Times New Roman"/>
          <w:szCs w:val="28"/>
        </w:rPr>
        <w:t>ждались</w:t>
      </w:r>
      <w:r w:rsidRPr="00334D7A">
        <w:rPr>
          <w:rFonts w:cs="Times New Roman"/>
          <w:szCs w:val="28"/>
        </w:rPr>
        <w:t>, что защитный чехол покрыл все короны клапана и петли установлены на свои посадочные места (рис.</w:t>
      </w:r>
      <w:r w:rsidRPr="00334D7A">
        <w:rPr>
          <w:rFonts w:cs="Times New Roman"/>
          <w:szCs w:val="28"/>
          <w:lang w:val="en-US"/>
        </w:rPr>
        <w:t> </w:t>
      </w:r>
      <w:r w:rsidRPr="00334D7A">
        <w:rPr>
          <w:rFonts w:cs="Times New Roman"/>
          <w:szCs w:val="28"/>
        </w:rPr>
        <w:t>1</w:t>
      </w:r>
      <w:r>
        <w:rPr>
          <w:rFonts w:cs="Times New Roman"/>
          <w:szCs w:val="28"/>
        </w:rPr>
        <w:t>1</w:t>
      </w:r>
      <w:r w:rsidRPr="00334D7A">
        <w:rPr>
          <w:rFonts w:cs="Times New Roman"/>
          <w:szCs w:val="28"/>
        </w:rPr>
        <w:t>).</w:t>
      </w:r>
    </w:p>
    <w:p w:rsidR="00057EB9" w:rsidRPr="004C752B" w:rsidRDefault="00057EB9" w:rsidP="00057EB9">
      <w:pPr>
        <w:keepNext/>
        <w:tabs>
          <w:tab w:val="left" w:pos="1140"/>
        </w:tabs>
        <w:ind w:firstLine="709"/>
        <w:jc w:val="center"/>
        <w:rPr>
          <w:rFonts w:cs="Times New Roman"/>
          <w:noProof/>
          <w:szCs w:val="28"/>
        </w:rPr>
      </w:pPr>
      <w:r w:rsidRPr="004C752B">
        <w:rPr>
          <w:rFonts w:cs="Times New Roman"/>
          <w:noProof/>
          <w:szCs w:val="28"/>
          <w:lang w:eastAsia="ru-RU"/>
        </w:rPr>
        <w:lastRenderedPageBreak/>
        <w:drawing>
          <wp:inline distT="0" distB="0" distL="0" distR="0">
            <wp:extent cx="5048250" cy="1847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0" cy="1847850"/>
                    </a:xfrm>
                    <a:prstGeom prst="rect">
                      <a:avLst/>
                    </a:prstGeom>
                    <a:noFill/>
                    <a:ln>
                      <a:noFill/>
                    </a:ln>
                  </pic:spPr>
                </pic:pic>
              </a:graphicData>
            </a:graphic>
          </wp:inline>
        </w:drawing>
      </w:r>
    </w:p>
    <w:p w:rsidR="00057EB9" w:rsidRPr="00334D7A" w:rsidRDefault="00057EB9" w:rsidP="00057EB9">
      <w:pPr>
        <w:pStyle w:val="ae"/>
        <w:spacing w:line="360" w:lineRule="auto"/>
        <w:jc w:val="center"/>
        <w:rPr>
          <w:b w:val="0"/>
          <w:sz w:val="28"/>
          <w:szCs w:val="28"/>
        </w:rPr>
      </w:pPr>
      <w:r w:rsidRPr="00334D7A">
        <w:rPr>
          <w:b w:val="0"/>
          <w:sz w:val="28"/>
          <w:szCs w:val="28"/>
        </w:rPr>
        <w:t xml:space="preserve">Рис. </w:t>
      </w:r>
      <w:r w:rsidRPr="00334D7A">
        <w:rPr>
          <w:b w:val="0"/>
          <w:sz w:val="28"/>
          <w:szCs w:val="28"/>
        </w:rPr>
        <w:fldChar w:fldCharType="begin"/>
      </w:r>
      <w:r w:rsidRPr="00334D7A">
        <w:rPr>
          <w:b w:val="0"/>
          <w:sz w:val="28"/>
          <w:szCs w:val="28"/>
        </w:rPr>
        <w:instrText xml:space="preserve"> SEQ Рис. \* ARABIC </w:instrText>
      </w:r>
      <w:r w:rsidRPr="00334D7A">
        <w:rPr>
          <w:b w:val="0"/>
          <w:sz w:val="28"/>
          <w:szCs w:val="28"/>
        </w:rPr>
        <w:fldChar w:fldCharType="separate"/>
      </w:r>
      <w:r w:rsidRPr="00334D7A">
        <w:rPr>
          <w:b w:val="0"/>
          <w:noProof/>
          <w:sz w:val="28"/>
          <w:szCs w:val="28"/>
        </w:rPr>
        <w:t>11</w:t>
      </w:r>
      <w:r w:rsidRPr="00334D7A">
        <w:rPr>
          <w:b w:val="0"/>
          <w:sz w:val="28"/>
          <w:szCs w:val="28"/>
        </w:rPr>
        <w:fldChar w:fldCharType="end"/>
      </w:r>
      <w:r w:rsidRPr="00334D7A">
        <w:rPr>
          <w:b w:val="0"/>
          <w:sz w:val="28"/>
          <w:szCs w:val="28"/>
        </w:rPr>
        <w:t>.</w:t>
      </w:r>
      <w:r w:rsidRPr="004C752B">
        <w:rPr>
          <w:b w:val="0"/>
          <w:sz w:val="28"/>
          <w:szCs w:val="28"/>
        </w:rPr>
        <w:t xml:space="preserve"> Фиксация петель каркаса клапана в замке крепления системы доставки</w:t>
      </w:r>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t>Подв</w:t>
      </w:r>
      <w:r>
        <w:rPr>
          <w:rFonts w:cs="Times New Roman"/>
          <w:szCs w:val="28"/>
        </w:rPr>
        <w:t xml:space="preserve">одили </w:t>
      </w:r>
      <w:r w:rsidRPr="004C752B">
        <w:rPr>
          <w:rFonts w:cs="Times New Roman"/>
          <w:szCs w:val="28"/>
        </w:rPr>
        <w:t>трубку Т</w:t>
      </w:r>
      <w:proofErr w:type="gramStart"/>
      <w:r w:rsidRPr="004C752B">
        <w:rPr>
          <w:rFonts w:cs="Times New Roman"/>
          <w:szCs w:val="28"/>
        </w:rPr>
        <w:t>2</w:t>
      </w:r>
      <w:proofErr w:type="gramEnd"/>
      <w:r w:rsidRPr="004C752B">
        <w:rPr>
          <w:rFonts w:cs="Times New Roman"/>
          <w:szCs w:val="28"/>
        </w:rPr>
        <w:t xml:space="preserve"> с расширенными концами внутрь конуса К1, продвинув ее дистальный конец до начала биологического материала. Вращая рукоятку системы доставки, также придви</w:t>
      </w:r>
      <w:r>
        <w:rPr>
          <w:rFonts w:cs="Times New Roman"/>
          <w:szCs w:val="28"/>
        </w:rPr>
        <w:t>гали</w:t>
      </w:r>
      <w:r w:rsidRPr="004C752B">
        <w:rPr>
          <w:rFonts w:cs="Times New Roman"/>
          <w:szCs w:val="28"/>
        </w:rPr>
        <w:t xml:space="preserve"> защитный чехол в сторону клапана до начала биологического материала (рис. 1</w:t>
      </w:r>
      <w:r>
        <w:rPr>
          <w:rFonts w:cs="Times New Roman"/>
          <w:szCs w:val="28"/>
        </w:rPr>
        <w:t>2</w:t>
      </w:r>
      <w:r w:rsidRPr="004C752B">
        <w:rPr>
          <w:rFonts w:cs="Times New Roman"/>
          <w:szCs w:val="28"/>
        </w:rPr>
        <w:t>).</w:t>
      </w:r>
    </w:p>
    <w:p w:rsidR="00057EB9" w:rsidRPr="004C752B" w:rsidRDefault="00057EB9" w:rsidP="00057EB9">
      <w:pPr>
        <w:keepNext/>
        <w:tabs>
          <w:tab w:val="left" w:pos="1140"/>
        </w:tabs>
        <w:ind w:firstLine="709"/>
        <w:jc w:val="center"/>
        <w:rPr>
          <w:rFonts w:cs="Times New Roman"/>
          <w:szCs w:val="28"/>
        </w:rPr>
      </w:pPr>
      <w:r w:rsidRPr="004C752B">
        <w:rPr>
          <w:rFonts w:cs="Times New Roman"/>
          <w:noProof/>
          <w:szCs w:val="28"/>
          <w:lang w:eastAsia="ru-RU"/>
        </w:rPr>
        <w:drawing>
          <wp:inline distT="0" distB="0" distL="0" distR="0">
            <wp:extent cx="5572125" cy="19145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2125" cy="1914525"/>
                    </a:xfrm>
                    <a:prstGeom prst="rect">
                      <a:avLst/>
                    </a:prstGeom>
                    <a:noFill/>
                    <a:ln>
                      <a:noFill/>
                    </a:ln>
                  </pic:spPr>
                </pic:pic>
              </a:graphicData>
            </a:graphic>
          </wp:inline>
        </w:drawing>
      </w:r>
    </w:p>
    <w:p w:rsidR="00057EB9" w:rsidRPr="00334D7A" w:rsidRDefault="00057EB9" w:rsidP="00057EB9">
      <w:pPr>
        <w:pStyle w:val="ae"/>
        <w:spacing w:line="360" w:lineRule="auto"/>
        <w:jc w:val="center"/>
        <w:rPr>
          <w:b w:val="0"/>
          <w:noProof/>
          <w:sz w:val="28"/>
          <w:szCs w:val="28"/>
        </w:rPr>
      </w:pPr>
      <w:r w:rsidRPr="00334D7A">
        <w:rPr>
          <w:b w:val="0"/>
          <w:sz w:val="28"/>
          <w:szCs w:val="28"/>
        </w:rPr>
        <w:t xml:space="preserve">Рис. </w:t>
      </w:r>
      <w:r w:rsidRPr="00334D7A">
        <w:rPr>
          <w:b w:val="0"/>
          <w:sz w:val="28"/>
          <w:szCs w:val="28"/>
        </w:rPr>
        <w:fldChar w:fldCharType="begin"/>
      </w:r>
      <w:r w:rsidRPr="00334D7A">
        <w:rPr>
          <w:b w:val="0"/>
          <w:sz w:val="28"/>
          <w:szCs w:val="28"/>
        </w:rPr>
        <w:instrText xml:space="preserve"> SEQ Рис. \* ARABIC </w:instrText>
      </w:r>
      <w:r w:rsidRPr="00334D7A">
        <w:rPr>
          <w:b w:val="0"/>
          <w:sz w:val="28"/>
          <w:szCs w:val="28"/>
        </w:rPr>
        <w:fldChar w:fldCharType="separate"/>
      </w:r>
      <w:r w:rsidRPr="00334D7A">
        <w:rPr>
          <w:b w:val="0"/>
          <w:noProof/>
          <w:sz w:val="28"/>
          <w:szCs w:val="28"/>
        </w:rPr>
        <w:t>1</w:t>
      </w:r>
      <w:r>
        <w:rPr>
          <w:b w:val="0"/>
          <w:noProof/>
          <w:sz w:val="28"/>
          <w:szCs w:val="28"/>
        </w:rPr>
        <w:t>2</w:t>
      </w:r>
      <w:r w:rsidRPr="00334D7A">
        <w:rPr>
          <w:b w:val="0"/>
          <w:sz w:val="28"/>
          <w:szCs w:val="28"/>
        </w:rPr>
        <w:fldChar w:fldCharType="end"/>
      </w:r>
      <w:r w:rsidRPr="00334D7A">
        <w:rPr>
          <w:b w:val="0"/>
          <w:sz w:val="28"/>
          <w:szCs w:val="28"/>
        </w:rPr>
        <w:t>.</w:t>
      </w:r>
      <w:r w:rsidRPr="004C752B">
        <w:rPr>
          <w:b w:val="0"/>
          <w:sz w:val="28"/>
          <w:szCs w:val="28"/>
        </w:rPr>
        <w:t xml:space="preserve"> Начало загрузки клапана в защитный чехол системы доставки</w:t>
      </w:r>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t>Сним</w:t>
      </w:r>
      <w:r>
        <w:rPr>
          <w:rFonts w:cs="Times New Roman"/>
          <w:szCs w:val="28"/>
        </w:rPr>
        <w:t>али</w:t>
      </w:r>
      <w:r w:rsidRPr="004C752B">
        <w:rPr>
          <w:rFonts w:cs="Times New Roman"/>
          <w:szCs w:val="28"/>
        </w:rPr>
        <w:t xml:space="preserve"> крышку и прямую трубку T1 с конуса К</w:t>
      </w:r>
      <w:proofErr w:type="gramStart"/>
      <w:r w:rsidRPr="004C752B">
        <w:rPr>
          <w:rFonts w:cs="Times New Roman"/>
          <w:szCs w:val="28"/>
        </w:rPr>
        <w:t>1</w:t>
      </w:r>
      <w:proofErr w:type="gramEnd"/>
      <w:r w:rsidRPr="004C752B">
        <w:rPr>
          <w:rFonts w:cs="Times New Roman"/>
          <w:szCs w:val="28"/>
        </w:rPr>
        <w:t xml:space="preserve"> (рис. 1</w:t>
      </w:r>
      <w:r>
        <w:rPr>
          <w:rFonts w:cs="Times New Roman"/>
          <w:szCs w:val="28"/>
        </w:rPr>
        <w:t>3</w:t>
      </w:r>
      <w:r w:rsidRPr="004C752B">
        <w:rPr>
          <w:rFonts w:cs="Times New Roman"/>
          <w:szCs w:val="28"/>
        </w:rPr>
        <w:t>).</w:t>
      </w:r>
    </w:p>
    <w:p w:rsidR="00057EB9" w:rsidRPr="004C752B" w:rsidRDefault="00057EB9" w:rsidP="00057EB9">
      <w:pPr>
        <w:keepNext/>
        <w:tabs>
          <w:tab w:val="left" w:pos="1140"/>
        </w:tabs>
        <w:ind w:firstLine="709"/>
        <w:jc w:val="center"/>
        <w:rPr>
          <w:rFonts w:cs="Times New Roman"/>
          <w:szCs w:val="28"/>
        </w:rPr>
      </w:pPr>
      <w:r w:rsidRPr="004C752B">
        <w:rPr>
          <w:rFonts w:cs="Times New Roman"/>
          <w:noProof/>
          <w:szCs w:val="28"/>
          <w:lang w:eastAsia="ru-RU"/>
        </w:rPr>
        <w:drawing>
          <wp:inline distT="0" distB="0" distL="0" distR="0">
            <wp:extent cx="5553075" cy="1695450"/>
            <wp:effectExtent l="0" t="0" r="9525"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075" cy="1695450"/>
                    </a:xfrm>
                    <a:prstGeom prst="rect">
                      <a:avLst/>
                    </a:prstGeom>
                    <a:noFill/>
                    <a:ln>
                      <a:noFill/>
                    </a:ln>
                  </pic:spPr>
                </pic:pic>
              </a:graphicData>
            </a:graphic>
          </wp:inline>
        </w:drawing>
      </w:r>
    </w:p>
    <w:p w:rsidR="00057EB9" w:rsidRPr="00334D7A" w:rsidRDefault="00057EB9" w:rsidP="00057EB9">
      <w:pPr>
        <w:pStyle w:val="ae"/>
        <w:spacing w:line="360" w:lineRule="auto"/>
        <w:jc w:val="center"/>
        <w:rPr>
          <w:b w:val="0"/>
          <w:noProof/>
          <w:sz w:val="28"/>
          <w:szCs w:val="28"/>
        </w:rPr>
      </w:pPr>
      <w:r w:rsidRPr="00334D7A">
        <w:rPr>
          <w:b w:val="0"/>
          <w:sz w:val="28"/>
          <w:szCs w:val="28"/>
        </w:rPr>
        <w:t xml:space="preserve">Рис. </w:t>
      </w:r>
      <w:r w:rsidRPr="00334D7A">
        <w:rPr>
          <w:b w:val="0"/>
          <w:sz w:val="28"/>
          <w:szCs w:val="28"/>
        </w:rPr>
        <w:fldChar w:fldCharType="begin"/>
      </w:r>
      <w:r w:rsidRPr="00334D7A">
        <w:rPr>
          <w:b w:val="0"/>
          <w:sz w:val="28"/>
          <w:szCs w:val="28"/>
        </w:rPr>
        <w:instrText xml:space="preserve"> SEQ Рис. \* ARABIC </w:instrText>
      </w:r>
      <w:r w:rsidRPr="00334D7A">
        <w:rPr>
          <w:b w:val="0"/>
          <w:sz w:val="28"/>
          <w:szCs w:val="28"/>
        </w:rPr>
        <w:fldChar w:fldCharType="separate"/>
      </w:r>
      <w:r w:rsidRPr="00334D7A">
        <w:rPr>
          <w:b w:val="0"/>
          <w:noProof/>
          <w:sz w:val="28"/>
          <w:szCs w:val="28"/>
        </w:rPr>
        <w:t>13</w:t>
      </w:r>
      <w:r w:rsidRPr="00334D7A">
        <w:rPr>
          <w:b w:val="0"/>
          <w:sz w:val="28"/>
          <w:szCs w:val="28"/>
        </w:rPr>
        <w:fldChar w:fldCharType="end"/>
      </w:r>
      <w:r w:rsidRPr="00334D7A">
        <w:rPr>
          <w:b w:val="0"/>
          <w:sz w:val="28"/>
          <w:szCs w:val="28"/>
        </w:rPr>
        <w:t>.</w:t>
      </w:r>
      <w:r w:rsidRPr="004C752B">
        <w:rPr>
          <w:sz w:val="28"/>
          <w:szCs w:val="28"/>
        </w:rPr>
        <w:t xml:space="preserve"> </w:t>
      </w:r>
      <w:r w:rsidRPr="004C752B">
        <w:rPr>
          <w:b w:val="0"/>
          <w:sz w:val="28"/>
          <w:szCs w:val="28"/>
        </w:rPr>
        <w:t>Удаление крышки и трубки Т</w:t>
      </w:r>
      <w:proofErr w:type="gramStart"/>
      <w:r w:rsidRPr="004C752B">
        <w:rPr>
          <w:b w:val="0"/>
          <w:sz w:val="28"/>
          <w:szCs w:val="28"/>
        </w:rPr>
        <w:t>1</w:t>
      </w:r>
      <w:proofErr w:type="gramEnd"/>
      <w:r w:rsidRPr="004C752B">
        <w:rPr>
          <w:b w:val="0"/>
          <w:sz w:val="28"/>
          <w:szCs w:val="28"/>
        </w:rPr>
        <w:t xml:space="preserve"> для дальнейшей загрузки клапана в систему доставки</w:t>
      </w:r>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lastRenderedPageBreak/>
        <w:t>Переме</w:t>
      </w:r>
      <w:r>
        <w:rPr>
          <w:rFonts w:cs="Times New Roman"/>
          <w:szCs w:val="28"/>
        </w:rPr>
        <w:t>щали</w:t>
      </w:r>
      <w:r w:rsidRPr="004C752B">
        <w:rPr>
          <w:rFonts w:cs="Times New Roman"/>
          <w:szCs w:val="28"/>
        </w:rPr>
        <w:t xml:space="preserve"> конус К</w:t>
      </w:r>
      <w:proofErr w:type="gramStart"/>
      <w:r w:rsidRPr="004C752B">
        <w:rPr>
          <w:rFonts w:cs="Times New Roman"/>
          <w:szCs w:val="28"/>
        </w:rPr>
        <w:t>1</w:t>
      </w:r>
      <w:proofErr w:type="gramEnd"/>
      <w:r w:rsidRPr="004C752B">
        <w:rPr>
          <w:rFonts w:cs="Times New Roman"/>
          <w:szCs w:val="28"/>
        </w:rPr>
        <w:t xml:space="preserve"> от клапана в сторону ручки. В</w:t>
      </w:r>
      <w:r>
        <w:rPr>
          <w:rFonts w:cs="Times New Roman"/>
          <w:szCs w:val="28"/>
        </w:rPr>
        <w:t>зяв</w:t>
      </w:r>
      <w:r w:rsidRPr="004C752B">
        <w:rPr>
          <w:rFonts w:cs="Times New Roman"/>
          <w:szCs w:val="28"/>
        </w:rPr>
        <w:t xml:space="preserve"> конус К</w:t>
      </w:r>
      <w:proofErr w:type="gramStart"/>
      <w:r w:rsidRPr="004C752B">
        <w:rPr>
          <w:rFonts w:cs="Times New Roman"/>
          <w:szCs w:val="28"/>
        </w:rPr>
        <w:t>2</w:t>
      </w:r>
      <w:proofErr w:type="gramEnd"/>
      <w:r>
        <w:rPr>
          <w:rFonts w:cs="Times New Roman"/>
          <w:szCs w:val="28"/>
        </w:rPr>
        <w:t>,</w:t>
      </w:r>
      <w:r w:rsidRPr="004C752B">
        <w:rPr>
          <w:rFonts w:cs="Times New Roman"/>
          <w:szCs w:val="28"/>
        </w:rPr>
        <w:t xml:space="preserve"> зав</w:t>
      </w:r>
      <w:r>
        <w:rPr>
          <w:rFonts w:cs="Times New Roman"/>
          <w:szCs w:val="28"/>
        </w:rPr>
        <w:t xml:space="preserve">одили </w:t>
      </w:r>
      <w:r w:rsidRPr="004C752B">
        <w:rPr>
          <w:rFonts w:cs="Times New Roman"/>
          <w:szCs w:val="28"/>
        </w:rPr>
        <w:t>в него выступающую часть клапана (рис. 1</w:t>
      </w:r>
      <w:r>
        <w:rPr>
          <w:rFonts w:cs="Times New Roman"/>
          <w:szCs w:val="28"/>
        </w:rPr>
        <w:t>4</w:t>
      </w:r>
      <w:r w:rsidRPr="004C752B">
        <w:rPr>
          <w:rFonts w:cs="Times New Roman"/>
          <w:szCs w:val="28"/>
        </w:rPr>
        <w:t>).</w:t>
      </w:r>
    </w:p>
    <w:p w:rsidR="00057EB9" w:rsidRPr="004C752B" w:rsidRDefault="00057EB9" w:rsidP="00057EB9">
      <w:pPr>
        <w:keepNext/>
        <w:tabs>
          <w:tab w:val="left" w:pos="1140"/>
        </w:tabs>
        <w:ind w:firstLine="709"/>
        <w:jc w:val="center"/>
        <w:rPr>
          <w:rFonts w:cs="Times New Roman"/>
          <w:szCs w:val="28"/>
        </w:rPr>
      </w:pPr>
      <w:r w:rsidRPr="004C752B">
        <w:rPr>
          <w:rFonts w:cs="Times New Roman"/>
          <w:noProof/>
          <w:szCs w:val="28"/>
          <w:lang w:eastAsia="ru-RU"/>
        </w:rPr>
        <w:drawing>
          <wp:inline distT="0" distB="0" distL="0" distR="0">
            <wp:extent cx="5610225" cy="2247900"/>
            <wp:effectExtent l="0" t="0" r="9525"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2247900"/>
                    </a:xfrm>
                    <a:prstGeom prst="rect">
                      <a:avLst/>
                    </a:prstGeom>
                    <a:noFill/>
                    <a:ln>
                      <a:noFill/>
                    </a:ln>
                  </pic:spPr>
                </pic:pic>
              </a:graphicData>
            </a:graphic>
          </wp:inline>
        </w:drawing>
      </w:r>
    </w:p>
    <w:p w:rsidR="00057EB9" w:rsidRPr="004C752B" w:rsidRDefault="00057EB9" w:rsidP="00057EB9">
      <w:pPr>
        <w:pStyle w:val="ae"/>
        <w:jc w:val="center"/>
        <w:rPr>
          <w:b w:val="0"/>
          <w:sz w:val="28"/>
          <w:szCs w:val="28"/>
        </w:rPr>
      </w:pPr>
      <w:r w:rsidRPr="00E936F9">
        <w:rPr>
          <w:b w:val="0"/>
          <w:sz w:val="28"/>
          <w:szCs w:val="28"/>
        </w:rPr>
        <w:t xml:space="preserve">Рис. </w:t>
      </w:r>
      <w:r w:rsidRPr="00E936F9">
        <w:rPr>
          <w:b w:val="0"/>
          <w:sz w:val="28"/>
          <w:szCs w:val="28"/>
        </w:rPr>
        <w:fldChar w:fldCharType="begin"/>
      </w:r>
      <w:r w:rsidRPr="00E936F9">
        <w:rPr>
          <w:b w:val="0"/>
          <w:sz w:val="28"/>
          <w:szCs w:val="28"/>
        </w:rPr>
        <w:instrText xml:space="preserve"> SEQ Рис. \* ARABIC </w:instrText>
      </w:r>
      <w:r w:rsidRPr="00E936F9">
        <w:rPr>
          <w:b w:val="0"/>
          <w:sz w:val="28"/>
          <w:szCs w:val="28"/>
        </w:rPr>
        <w:fldChar w:fldCharType="separate"/>
      </w:r>
      <w:r w:rsidRPr="00E936F9">
        <w:rPr>
          <w:b w:val="0"/>
          <w:noProof/>
          <w:sz w:val="28"/>
          <w:szCs w:val="28"/>
        </w:rPr>
        <w:t>14</w:t>
      </w:r>
      <w:r w:rsidRPr="00E936F9">
        <w:rPr>
          <w:b w:val="0"/>
          <w:sz w:val="28"/>
          <w:szCs w:val="28"/>
        </w:rPr>
        <w:fldChar w:fldCharType="end"/>
      </w:r>
      <w:r w:rsidRPr="00E936F9">
        <w:rPr>
          <w:b w:val="0"/>
          <w:sz w:val="28"/>
          <w:szCs w:val="28"/>
        </w:rPr>
        <w:t>.</w:t>
      </w:r>
      <w:r w:rsidRPr="004C752B">
        <w:rPr>
          <w:sz w:val="28"/>
          <w:szCs w:val="28"/>
        </w:rPr>
        <w:t xml:space="preserve"> </w:t>
      </w:r>
      <w:r w:rsidRPr="004C752B">
        <w:rPr>
          <w:b w:val="0"/>
          <w:sz w:val="28"/>
          <w:szCs w:val="28"/>
        </w:rPr>
        <w:t>Складывание клапана с помощью конуса К</w:t>
      </w:r>
      <w:proofErr w:type="gramStart"/>
      <w:r w:rsidRPr="004C752B">
        <w:rPr>
          <w:b w:val="0"/>
          <w:sz w:val="28"/>
          <w:szCs w:val="28"/>
        </w:rPr>
        <w:t>2</w:t>
      </w:r>
      <w:proofErr w:type="gramEnd"/>
    </w:p>
    <w:p w:rsidR="00057EB9" w:rsidRPr="004C752B" w:rsidRDefault="00057EB9" w:rsidP="00057EB9">
      <w:pPr>
        <w:tabs>
          <w:tab w:val="left" w:pos="1140"/>
        </w:tabs>
        <w:ind w:left="1069"/>
        <w:rPr>
          <w:rFonts w:cs="Times New Roman"/>
          <w:szCs w:val="28"/>
        </w:rPr>
      </w:pPr>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br w:type="page"/>
      </w:r>
      <w:r w:rsidRPr="004C752B">
        <w:rPr>
          <w:rFonts w:cs="Times New Roman"/>
          <w:szCs w:val="28"/>
        </w:rPr>
        <w:lastRenderedPageBreak/>
        <w:t>Убе</w:t>
      </w:r>
      <w:r>
        <w:rPr>
          <w:rFonts w:cs="Times New Roman"/>
          <w:szCs w:val="28"/>
        </w:rPr>
        <w:t>ждались</w:t>
      </w:r>
      <w:r w:rsidRPr="004C752B">
        <w:rPr>
          <w:rFonts w:cs="Times New Roman"/>
          <w:szCs w:val="28"/>
        </w:rPr>
        <w:t>, что ось системы доставки, клапана и конуса К</w:t>
      </w:r>
      <w:proofErr w:type="gramStart"/>
      <w:r w:rsidRPr="004C752B">
        <w:rPr>
          <w:rFonts w:cs="Times New Roman"/>
          <w:szCs w:val="28"/>
        </w:rPr>
        <w:t>2</w:t>
      </w:r>
      <w:proofErr w:type="gramEnd"/>
      <w:r w:rsidRPr="004C752B">
        <w:rPr>
          <w:rFonts w:cs="Times New Roman"/>
          <w:szCs w:val="28"/>
        </w:rPr>
        <w:t xml:space="preserve"> визуально выравнены (рис. 1</w:t>
      </w:r>
      <w:r>
        <w:rPr>
          <w:rFonts w:cs="Times New Roman"/>
          <w:szCs w:val="28"/>
        </w:rPr>
        <w:t>5</w:t>
      </w:r>
      <w:r w:rsidRPr="004C752B">
        <w:rPr>
          <w:rFonts w:cs="Times New Roman"/>
          <w:szCs w:val="28"/>
        </w:rPr>
        <w:t>).</w:t>
      </w:r>
    </w:p>
    <w:p w:rsidR="00057EB9" w:rsidRPr="004C752B" w:rsidRDefault="00057EB9" w:rsidP="00057EB9">
      <w:pPr>
        <w:keepNext/>
        <w:tabs>
          <w:tab w:val="left" w:pos="1140"/>
        </w:tabs>
        <w:jc w:val="center"/>
        <w:rPr>
          <w:rFonts w:cs="Times New Roman"/>
          <w:szCs w:val="28"/>
        </w:rPr>
      </w:pPr>
      <w:r w:rsidRPr="004C752B">
        <w:rPr>
          <w:rFonts w:cs="Times New Roman"/>
          <w:noProof/>
          <w:szCs w:val="28"/>
          <w:lang w:eastAsia="ru-RU"/>
        </w:rPr>
        <w:drawing>
          <wp:inline distT="0" distB="0" distL="0" distR="0">
            <wp:extent cx="5800725" cy="1704975"/>
            <wp:effectExtent l="0" t="0" r="9525" b="9525"/>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0725" cy="1704975"/>
                    </a:xfrm>
                    <a:prstGeom prst="rect">
                      <a:avLst/>
                    </a:prstGeom>
                    <a:noFill/>
                    <a:ln>
                      <a:noFill/>
                    </a:ln>
                  </pic:spPr>
                </pic:pic>
              </a:graphicData>
            </a:graphic>
          </wp:inline>
        </w:drawing>
      </w:r>
    </w:p>
    <w:p w:rsidR="00057EB9" w:rsidRPr="004C752B" w:rsidRDefault="00057EB9" w:rsidP="00057EB9">
      <w:pPr>
        <w:pStyle w:val="ae"/>
        <w:spacing w:line="360" w:lineRule="auto"/>
        <w:jc w:val="center"/>
        <w:rPr>
          <w:b w:val="0"/>
          <w:sz w:val="28"/>
          <w:szCs w:val="28"/>
        </w:rPr>
      </w:pPr>
      <w:r w:rsidRPr="00E936F9">
        <w:rPr>
          <w:b w:val="0"/>
          <w:sz w:val="28"/>
          <w:szCs w:val="28"/>
        </w:rPr>
        <w:t xml:space="preserve">Рис. </w:t>
      </w:r>
      <w:r w:rsidRPr="00E936F9">
        <w:rPr>
          <w:b w:val="0"/>
          <w:sz w:val="28"/>
          <w:szCs w:val="28"/>
        </w:rPr>
        <w:fldChar w:fldCharType="begin"/>
      </w:r>
      <w:r w:rsidRPr="00E936F9">
        <w:rPr>
          <w:b w:val="0"/>
          <w:sz w:val="28"/>
          <w:szCs w:val="28"/>
        </w:rPr>
        <w:instrText xml:space="preserve"> SEQ Рис. \* ARABIC </w:instrText>
      </w:r>
      <w:r w:rsidRPr="00E936F9">
        <w:rPr>
          <w:b w:val="0"/>
          <w:sz w:val="28"/>
          <w:szCs w:val="28"/>
        </w:rPr>
        <w:fldChar w:fldCharType="separate"/>
      </w:r>
      <w:r w:rsidRPr="00E936F9">
        <w:rPr>
          <w:b w:val="0"/>
          <w:noProof/>
          <w:sz w:val="28"/>
          <w:szCs w:val="28"/>
        </w:rPr>
        <w:t>15</w:t>
      </w:r>
      <w:r w:rsidRPr="00E936F9">
        <w:rPr>
          <w:b w:val="0"/>
          <w:sz w:val="28"/>
          <w:szCs w:val="28"/>
        </w:rPr>
        <w:fldChar w:fldCharType="end"/>
      </w:r>
      <w:r w:rsidRPr="00E936F9">
        <w:rPr>
          <w:b w:val="0"/>
          <w:sz w:val="28"/>
          <w:szCs w:val="28"/>
        </w:rPr>
        <w:t>.</w:t>
      </w:r>
      <w:r w:rsidRPr="004C752B">
        <w:rPr>
          <w:b w:val="0"/>
          <w:sz w:val="28"/>
          <w:szCs w:val="28"/>
        </w:rPr>
        <w:t xml:space="preserve"> Складывание клапана с помощью конуса К</w:t>
      </w:r>
      <w:proofErr w:type="gramStart"/>
      <w:r w:rsidRPr="004C752B">
        <w:rPr>
          <w:b w:val="0"/>
          <w:sz w:val="28"/>
          <w:szCs w:val="28"/>
        </w:rPr>
        <w:t>2</w:t>
      </w:r>
      <w:proofErr w:type="gramEnd"/>
      <w:r w:rsidRPr="004C752B">
        <w:rPr>
          <w:b w:val="0"/>
          <w:sz w:val="28"/>
          <w:szCs w:val="28"/>
        </w:rPr>
        <w:t xml:space="preserve"> (продолжение)</w:t>
      </w:r>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t>Визуально провер</w:t>
      </w:r>
      <w:r>
        <w:rPr>
          <w:rFonts w:cs="Times New Roman"/>
          <w:szCs w:val="28"/>
        </w:rPr>
        <w:t>яли</w:t>
      </w:r>
      <w:r w:rsidRPr="004C752B">
        <w:rPr>
          <w:rFonts w:cs="Times New Roman"/>
          <w:szCs w:val="28"/>
        </w:rPr>
        <w:t xml:space="preserve"> состояние клапана в конусе К</w:t>
      </w:r>
      <w:proofErr w:type="gramStart"/>
      <w:r w:rsidRPr="004C752B">
        <w:rPr>
          <w:rFonts w:cs="Times New Roman"/>
          <w:szCs w:val="28"/>
        </w:rPr>
        <w:t>2</w:t>
      </w:r>
      <w:proofErr w:type="gramEnd"/>
      <w:r w:rsidRPr="004C752B">
        <w:rPr>
          <w:rFonts w:cs="Times New Roman"/>
          <w:szCs w:val="28"/>
        </w:rPr>
        <w:t>, убе</w:t>
      </w:r>
      <w:r>
        <w:rPr>
          <w:rFonts w:cs="Times New Roman"/>
          <w:szCs w:val="28"/>
        </w:rPr>
        <w:t xml:space="preserve">ждаясь в отсутствии </w:t>
      </w:r>
      <w:r w:rsidRPr="004C752B">
        <w:rPr>
          <w:rFonts w:cs="Times New Roman"/>
          <w:szCs w:val="28"/>
        </w:rPr>
        <w:t>складок и дефектов. Продвига</w:t>
      </w:r>
      <w:r>
        <w:rPr>
          <w:rFonts w:cs="Times New Roman"/>
          <w:szCs w:val="28"/>
        </w:rPr>
        <w:t xml:space="preserve">ли </w:t>
      </w:r>
      <w:r w:rsidRPr="004C752B">
        <w:rPr>
          <w:rFonts w:cs="Times New Roman"/>
          <w:szCs w:val="28"/>
        </w:rPr>
        <w:t>трубку Т</w:t>
      </w:r>
      <w:proofErr w:type="gramStart"/>
      <w:r w:rsidRPr="004C752B">
        <w:rPr>
          <w:rFonts w:cs="Times New Roman"/>
          <w:szCs w:val="28"/>
        </w:rPr>
        <w:t>2</w:t>
      </w:r>
      <w:proofErr w:type="gramEnd"/>
      <w:r w:rsidRPr="004C752B">
        <w:rPr>
          <w:rFonts w:cs="Times New Roman"/>
          <w:szCs w:val="28"/>
        </w:rPr>
        <w:t xml:space="preserve"> с расширенными концами в сторону клапана до начала цилиндрической части конуса К2 (рис. 1</w:t>
      </w:r>
      <w:r>
        <w:rPr>
          <w:rFonts w:cs="Times New Roman"/>
          <w:szCs w:val="28"/>
        </w:rPr>
        <w:t>6</w:t>
      </w:r>
      <w:r w:rsidRPr="004C752B">
        <w:rPr>
          <w:rFonts w:cs="Times New Roman"/>
          <w:szCs w:val="28"/>
        </w:rPr>
        <w:t>).</w:t>
      </w:r>
    </w:p>
    <w:p w:rsidR="00057EB9" w:rsidRPr="004C752B" w:rsidRDefault="00057EB9" w:rsidP="00057EB9">
      <w:pPr>
        <w:keepNext/>
        <w:tabs>
          <w:tab w:val="left" w:pos="1140"/>
        </w:tabs>
        <w:ind w:firstLine="142"/>
        <w:jc w:val="center"/>
        <w:rPr>
          <w:rFonts w:cs="Times New Roman"/>
          <w:szCs w:val="28"/>
        </w:rPr>
      </w:pPr>
      <w:r w:rsidRPr="004C752B">
        <w:rPr>
          <w:rFonts w:cs="Times New Roman"/>
          <w:noProof/>
          <w:szCs w:val="28"/>
          <w:lang w:eastAsia="ru-RU"/>
        </w:rPr>
        <w:drawing>
          <wp:inline distT="0" distB="0" distL="0" distR="0">
            <wp:extent cx="5734050" cy="1905000"/>
            <wp:effectExtent l="0" t="0" r="0" b="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1905000"/>
                    </a:xfrm>
                    <a:prstGeom prst="rect">
                      <a:avLst/>
                    </a:prstGeom>
                    <a:noFill/>
                    <a:ln>
                      <a:noFill/>
                    </a:ln>
                  </pic:spPr>
                </pic:pic>
              </a:graphicData>
            </a:graphic>
          </wp:inline>
        </w:drawing>
      </w:r>
    </w:p>
    <w:p w:rsidR="00057EB9" w:rsidRPr="00E936F9" w:rsidRDefault="00057EB9" w:rsidP="00057EB9">
      <w:pPr>
        <w:pStyle w:val="ae"/>
        <w:spacing w:line="360" w:lineRule="auto"/>
        <w:jc w:val="center"/>
        <w:rPr>
          <w:b w:val="0"/>
          <w:sz w:val="28"/>
          <w:szCs w:val="28"/>
        </w:rPr>
      </w:pPr>
      <w:r w:rsidRPr="00E936F9">
        <w:rPr>
          <w:b w:val="0"/>
          <w:sz w:val="28"/>
          <w:szCs w:val="28"/>
        </w:rPr>
        <w:t xml:space="preserve">Рис. </w:t>
      </w:r>
      <w:r w:rsidRPr="00E936F9">
        <w:rPr>
          <w:b w:val="0"/>
          <w:sz w:val="28"/>
          <w:szCs w:val="28"/>
        </w:rPr>
        <w:fldChar w:fldCharType="begin"/>
      </w:r>
      <w:r w:rsidRPr="00E936F9">
        <w:rPr>
          <w:b w:val="0"/>
          <w:sz w:val="28"/>
          <w:szCs w:val="28"/>
        </w:rPr>
        <w:instrText xml:space="preserve"> SEQ Рис. \* ARABIC </w:instrText>
      </w:r>
      <w:r w:rsidRPr="00E936F9">
        <w:rPr>
          <w:b w:val="0"/>
          <w:sz w:val="28"/>
          <w:szCs w:val="28"/>
        </w:rPr>
        <w:fldChar w:fldCharType="separate"/>
      </w:r>
      <w:r w:rsidRPr="00E936F9">
        <w:rPr>
          <w:b w:val="0"/>
          <w:noProof/>
          <w:sz w:val="28"/>
          <w:szCs w:val="28"/>
        </w:rPr>
        <w:t>16</w:t>
      </w:r>
      <w:r w:rsidRPr="00E936F9">
        <w:rPr>
          <w:b w:val="0"/>
          <w:sz w:val="28"/>
          <w:szCs w:val="28"/>
        </w:rPr>
        <w:fldChar w:fldCharType="end"/>
      </w:r>
      <w:r w:rsidRPr="00E936F9">
        <w:rPr>
          <w:b w:val="0"/>
          <w:sz w:val="28"/>
          <w:szCs w:val="28"/>
        </w:rPr>
        <w:t>.</w:t>
      </w:r>
      <w:r w:rsidRPr="004C752B">
        <w:rPr>
          <w:b w:val="0"/>
          <w:sz w:val="28"/>
          <w:szCs w:val="28"/>
        </w:rPr>
        <w:t xml:space="preserve"> Окончание складывания клапана с помощью конуса К</w:t>
      </w:r>
      <w:proofErr w:type="gramStart"/>
      <w:r w:rsidRPr="004C752B">
        <w:rPr>
          <w:b w:val="0"/>
          <w:sz w:val="28"/>
          <w:szCs w:val="28"/>
        </w:rPr>
        <w:t>2</w:t>
      </w:r>
      <w:proofErr w:type="gramEnd"/>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t>Снимая с клапана конус К</w:t>
      </w:r>
      <w:proofErr w:type="gramStart"/>
      <w:r w:rsidRPr="004C752B">
        <w:rPr>
          <w:rFonts w:cs="Times New Roman"/>
          <w:szCs w:val="28"/>
        </w:rPr>
        <w:t>2</w:t>
      </w:r>
      <w:proofErr w:type="gramEnd"/>
      <w:r w:rsidRPr="004C752B">
        <w:rPr>
          <w:rFonts w:cs="Times New Roman"/>
          <w:szCs w:val="28"/>
        </w:rPr>
        <w:t>, переме</w:t>
      </w:r>
      <w:r>
        <w:rPr>
          <w:rFonts w:cs="Times New Roman"/>
          <w:szCs w:val="28"/>
        </w:rPr>
        <w:t>щали</w:t>
      </w:r>
      <w:r w:rsidRPr="004C752B">
        <w:rPr>
          <w:rFonts w:cs="Times New Roman"/>
          <w:szCs w:val="28"/>
        </w:rPr>
        <w:t xml:space="preserve"> трубку Т2 с расширенными концами до края клапана так, чтобы она полностью его закрывала. Заверш</w:t>
      </w:r>
      <w:r>
        <w:rPr>
          <w:rFonts w:cs="Times New Roman"/>
          <w:szCs w:val="28"/>
        </w:rPr>
        <w:t xml:space="preserve">али </w:t>
      </w:r>
      <w:r w:rsidRPr="004C752B">
        <w:rPr>
          <w:rFonts w:cs="Times New Roman"/>
          <w:szCs w:val="28"/>
        </w:rPr>
        <w:t>перемещение клапана под защитный чехол, аккуратно и медленно вращая подвижную рукоятку до упора рукоятки в корпус (рис. 1</w:t>
      </w:r>
      <w:r>
        <w:rPr>
          <w:rFonts w:cs="Times New Roman"/>
          <w:szCs w:val="28"/>
        </w:rPr>
        <w:t>7</w:t>
      </w:r>
      <w:r w:rsidRPr="004C752B">
        <w:rPr>
          <w:rFonts w:cs="Times New Roman"/>
          <w:szCs w:val="28"/>
        </w:rPr>
        <w:t xml:space="preserve">). Взявшись одной рукой за основание защитного чехла, </w:t>
      </w:r>
      <w:r>
        <w:rPr>
          <w:rFonts w:cs="Times New Roman"/>
          <w:szCs w:val="28"/>
        </w:rPr>
        <w:t>при необходимости</w:t>
      </w:r>
      <w:r w:rsidRPr="004C752B">
        <w:rPr>
          <w:rFonts w:cs="Times New Roman"/>
          <w:szCs w:val="28"/>
        </w:rPr>
        <w:t xml:space="preserve"> при</w:t>
      </w:r>
      <w:r>
        <w:rPr>
          <w:rFonts w:cs="Times New Roman"/>
          <w:szCs w:val="28"/>
        </w:rPr>
        <w:t>кладывали</w:t>
      </w:r>
      <w:r w:rsidRPr="004C752B">
        <w:rPr>
          <w:rFonts w:cs="Times New Roman"/>
          <w:szCs w:val="28"/>
        </w:rPr>
        <w:t xml:space="preserve"> распрямляющее (осевое) усилие для облегчения перемещения протеза клапана внутрь.</w:t>
      </w:r>
    </w:p>
    <w:p w:rsidR="00057EB9" w:rsidRPr="004C752B" w:rsidRDefault="00057EB9" w:rsidP="00057EB9">
      <w:pPr>
        <w:keepNext/>
        <w:tabs>
          <w:tab w:val="left" w:pos="1140"/>
        </w:tabs>
        <w:jc w:val="center"/>
        <w:rPr>
          <w:rFonts w:cs="Times New Roman"/>
          <w:szCs w:val="28"/>
        </w:rPr>
      </w:pPr>
      <w:r w:rsidRPr="004C752B">
        <w:rPr>
          <w:rFonts w:cs="Times New Roman"/>
          <w:noProof/>
          <w:szCs w:val="28"/>
          <w:lang w:eastAsia="ru-RU"/>
        </w:rPr>
        <w:lastRenderedPageBreak/>
        <w:drawing>
          <wp:inline distT="0" distB="0" distL="0" distR="0">
            <wp:extent cx="5248275" cy="1876425"/>
            <wp:effectExtent l="0" t="0" r="9525" b="9525"/>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8275" cy="1876425"/>
                    </a:xfrm>
                    <a:prstGeom prst="rect">
                      <a:avLst/>
                    </a:prstGeom>
                    <a:noFill/>
                    <a:ln>
                      <a:noFill/>
                    </a:ln>
                  </pic:spPr>
                </pic:pic>
              </a:graphicData>
            </a:graphic>
          </wp:inline>
        </w:drawing>
      </w:r>
    </w:p>
    <w:p w:rsidR="00057EB9" w:rsidRPr="00761378" w:rsidRDefault="00057EB9" w:rsidP="00057EB9">
      <w:pPr>
        <w:pStyle w:val="ae"/>
        <w:spacing w:line="360" w:lineRule="auto"/>
        <w:jc w:val="center"/>
        <w:rPr>
          <w:b w:val="0"/>
          <w:sz w:val="28"/>
          <w:szCs w:val="28"/>
        </w:rPr>
      </w:pPr>
      <w:r w:rsidRPr="00761378">
        <w:rPr>
          <w:b w:val="0"/>
          <w:sz w:val="28"/>
          <w:szCs w:val="28"/>
        </w:rPr>
        <w:t xml:space="preserve">Рис. </w:t>
      </w:r>
      <w:r w:rsidRPr="00761378">
        <w:rPr>
          <w:b w:val="0"/>
          <w:sz w:val="28"/>
          <w:szCs w:val="28"/>
        </w:rPr>
        <w:fldChar w:fldCharType="begin"/>
      </w:r>
      <w:r w:rsidRPr="00761378">
        <w:rPr>
          <w:b w:val="0"/>
          <w:sz w:val="28"/>
          <w:szCs w:val="28"/>
        </w:rPr>
        <w:instrText xml:space="preserve"> SEQ Рис. \* ARABIC </w:instrText>
      </w:r>
      <w:r w:rsidRPr="00761378">
        <w:rPr>
          <w:b w:val="0"/>
          <w:sz w:val="28"/>
          <w:szCs w:val="28"/>
        </w:rPr>
        <w:fldChar w:fldCharType="separate"/>
      </w:r>
      <w:r w:rsidRPr="00761378">
        <w:rPr>
          <w:b w:val="0"/>
          <w:noProof/>
          <w:sz w:val="28"/>
          <w:szCs w:val="28"/>
        </w:rPr>
        <w:t>17</w:t>
      </w:r>
      <w:r w:rsidRPr="00761378">
        <w:rPr>
          <w:b w:val="0"/>
          <w:sz w:val="28"/>
          <w:szCs w:val="28"/>
        </w:rPr>
        <w:fldChar w:fldCharType="end"/>
      </w:r>
      <w:r w:rsidRPr="00761378">
        <w:rPr>
          <w:b w:val="0"/>
          <w:sz w:val="28"/>
          <w:szCs w:val="28"/>
        </w:rPr>
        <w:t>.</w:t>
      </w:r>
      <w:r w:rsidRPr="004C752B">
        <w:rPr>
          <w:b w:val="0"/>
          <w:sz w:val="28"/>
          <w:szCs w:val="28"/>
        </w:rPr>
        <w:t xml:space="preserve"> </w:t>
      </w:r>
      <w:bookmarkStart w:id="15" w:name="_Hlk6302971"/>
      <w:r w:rsidRPr="004C752B">
        <w:rPr>
          <w:b w:val="0"/>
          <w:sz w:val="28"/>
          <w:szCs w:val="28"/>
        </w:rPr>
        <w:t>Клапан загружен в систему доставки, окончательный вид</w:t>
      </w:r>
      <w:bookmarkEnd w:id="15"/>
    </w:p>
    <w:p w:rsidR="00057EB9" w:rsidRPr="004C752B" w:rsidRDefault="00057EB9" w:rsidP="00057EB9">
      <w:pPr>
        <w:numPr>
          <w:ilvl w:val="0"/>
          <w:numId w:val="10"/>
        </w:numPr>
        <w:tabs>
          <w:tab w:val="left" w:pos="774"/>
        </w:tabs>
        <w:ind w:left="0" w:firstLine="0"/>
        <w:rPr>
          <w:rFonts w:cs="Times New Roman"/>
          <w:szCs w:val="28"/>
        </w:rPr>
      </w:pPr>
      <w:r w:rsidRPr="004C752B">
        <w:rPr>
          <w:rFonts w:cs="Times New Roman"/>
          <w:szCs w:val="28"/>
        </w:rPr>
        <w:t>Сним</w:t>
      </w:r>
      <w:r>
        <w:rPr>
          <w:rFonts w:cs="Times New Roman"/>
          <w:szCs w:val="28"/>
        </w:rPr>
        <w:t>али</w:t>
      </w:r>
      <w:r w:rsidRPr="004C752B">
        <w:rPr>
          <w:rFonts w:cs="Times New Roman"/>
          <w:szCs w:val="28"/>
        </w:rPr>
        <w:t xml:space="preserve"> трубку Т</w:t>
      </w:r>
      <w:proofErr w:type="gramStart"/>
      <w:r w:rsidRPr="004C752B">
        <w:rPr>
          <w:rFonts w:cs="Times New Roman"/>
          <w:szCs w:val="28"/>
        </w:rPr>
        <w:t>2</w:t>
      </w:r>
      <w:proofErr w:type="gramEnd"/>
      <w:r w:rsidRPr="004C752B">
        <w:rPr>
          <w:rFonts w:cs="Times New Roman"/>
          <w:szCs w:val="28"/>
        </w:rPr>
        <w:t xml:space="preserve"> с расширенными концами с системы доставки. Пров</w:t>
      </w:r>
      <w:r>
        <w:rPr>
          <w:rFonts w:cs="Times New Roman"/>
          <w:szCs w:val="28"/>
        </w:rPr>
        <w:t>одили</w:t>
      </w:r>
      <w:r w:rsidRPr="004C752B">
        <w:rPr>
          <w:rFonts w:cs="Times New Roman"/>
          <w:szCs w:val="28"/>
        </w:rPr>
        <w:t xml:space="preserve"> окончательный визуальный осмотр загруженного в защитный чехол клапана. При наличии зазора более 1 мм между атравматическим кончиком и защитным чехлом системы доставки, </w:t>
      </w:r>
      <w:r>
        <w:rPr>
          <w:rFonts w:cs="Times New Roman"/>
          <w:szCs w:val="28"/>
        </w:rPr>
        <w:t>производили следующие действия</w:t>
      </w:r>
      <w:r w:rsidRPr="004C752B">
        <w:rPr>
          <w:rFonts w:cs="Times New Roman"/>
          <w:szCs w:val="28"/>
        </w:rPr>
        <w:t>:</w:t>
      </w:r>
    </w:p>
    <w:p w:rsidR="00057EB9" w:rsidRPr="004C752B" w:rsidRDefault="00057EB9" w:rsidP="00057EB9">
      <w:pPr>
        <w:tabs>
          <w:tab w:val="left" w:pos="1140"/>
        </w:tabs>
        <w:rPr>
          <w:rFonts w:cs="Times New Roman"/>
          <w:szCs w:val="28"/>
        </w:rPr>
      </w:pPr>
      <w:r w:rsidRPr="004C752B">
        <w:rPr>
          <w:rFonts w:cs="Times New Roman"/>
          <w:szCs w:val="28"/>
        </w:rPr>
        <w:t>- распол</w:t>
      </w:r>
      <w:r>
        <w:rPr>
          <w:rFonts w:cs="Times New Roman"/>
          <w:szCs w:val="28"/>
        </w:rPr>
        <w:t>агали</w:t>
      </w:r>
      <w:r w:rsidRPr="004C752B">
        <w:rPr>
          <w:rFonts w:cs="Times New Roman"/>
          <w:szCs w:val="28"/>
        </w:rPr>
        <w:t xml:space="preserve"> защитный чехол и систему шафтов на одной линии;</w:t>
      </w:r>
    </w:p>
    <w:p w:rsidR="00057EB9" w:rsidRPr="004C752B" w:rsidRDefault="00057EB9" w:rsidP="00057EB9">
      <w:pPr>
        <w:tabs>
          <w:tab w:val="left" w:pos="1140"/>
        </w:tabs>
        <w:rPr>
          <w:rFonts w:cs="Times New Roman"/>
          <w:szCs w:val="28"/>
        </w:rPr>
      </w:pPr>
      <w:r w:rsidRPr="004C752B">
        <w:rPr>
          <w:rFonts w:cs="Times New Roman"/>
          <w:szCs w:val="28"/>
        </w:rPr>
        <w:t>- взявшись одной рукой за основание защитного чехла, распрямляющим (осевым) усилием прибли</w:t>
      </w:r>
      <w:r>
        <w:rPr>
          <w:rFonts w:cs="Times New Roman"/>
          <w:szCs w:val="28"/>
        </w:rPr>
        <w:t>жали</w:t>
      </w:r>
      <w:r w:rsidRPr="004C752B">
        <w:rPr>
          <w:rFonts w:cs="Times New Roman"/>
          <w:szCs w:val="28"/>
        </w:rPr>
        <w:t xml:space="preserve"> конец защитного чехла вплотную к атравматическому кончику.</w:t>
      </w:r>
    </w:p>
    <w:p w:rsidR="00057EB9" w:rsidRDefault="00057EB9" w:rsidP="00057EB9">
      <w:pPr>
        <w:numPr>
          <w:ilvl w:val="0"/>
          <w:numId w:val="10"/>
        </w:numPr>
        <w:tabs>
          <w:tab w:val="left" w:pos="774"/>
        </w:tabs>
        <w:ind w:left="0" w:firstLine="0"/>
        <w:rPr>
          <w:rFonts w:cs="Times New Roman"/>
          <w:szCs w:val="28"/>
        </w:rPr>
      </w:pPr>
      <w:r w:rsidRPr="004C752B">
        <w:rPr>
          <w:rFonts w:cs="Times New Roman"/>
          <w:szCs w:val="28"/>
        </w:rPr>
        <w:t>Повторно, с помощью шприца с холодным физиологическим раствором пром</w:t>
      </w:r>
      <w:r>
        <w:rPr>
          <w:rFonts w:cs="Times New Roman"/>
          <w:szCs w:val="28"/>
        </w:rPr>
        <w:t>ывали</w:t>
      </w:r>
      <w:r w:rsidRPr="004C752B">
        <w:rPr>
          <w:rFonts w:cs="Times New Roman"/>
          <w:szCs w:val="28"/>
        </w:rPr>
        <w:t xml:space="preserve"> систему доставки через промывочные порты (боковые порты и проксимальный порт). Убе</w:t>
      </w:r>
      <w:r>
        <w:rPr>
          <w:rFonts w:cs="Times New Roman"/>
          <w:szCs w:val="28"/>
        </w:rPr>
        <w:t>ждались</w:t>
      </w:r>
      <w:r w:rsidRPr="004C752B">
        <w:rPr>
          <w:rFonts w:cs="Times New Roman"/>
          <w:szCs w:val="28"/>
        </w:rPr>
        <w:t xml:space="preserve"> в отсутствии пузырьков воздуха в защитном чехле</w:t>
      </w:r>
      <w:r>
        <w:rPr>
          <w:rFonts w:cs="Times New Roman"/>
          <w:szCs w:val="28"/>
        </w:rPr>
        <w:t>.</w:t>
      </w:r>
      <w:r w:rsidRPr="004C752B">
        <w:rPr>
          <w:rFonts w:cs="Times New Roman"/>
          <w:szCs w:val="28"/>
        </w:rPr>
        <w:t xml:space="preserve"> При наличии пузырьков воздуха еще раз промы</w:t>
      </w:r>
      <w:r>
        <w:rPr>
          <w:rFonts w:cs="Times New Roman"/>
          <w:szCs w:val="28"/>
        </w:rPr>
        <w:t>вали</w:t>
      </w:r>
      <w:r w:rsidRPr="004C752B">
        <w:rPr>
          <w:rFonts w:cs="Times New Roman"/>
          <w:szCs w:val="28"/>
        </w:rPr>
        <w:t xml:space="preserve"> систему до их удаления.</w:t>
      </w:r>
      <w:r>
        <w:rPr>
          <w:rFonts w:cs="Times New Roman"/>
          <w:szCs w:val="28"/>
        </w:rPr>
        <w:t xml:space="preserve"> </w:t>
      </w:r>
      <w:r w:rsidRPr="00761378">
        <w:rPr>
          <w:rFonts w:cs="Times New Roman"/>
          <w:szCs w:val="28"/>
        </w:rPr>
        <w:t xml:space="preserve">Клапан, собранный в системе доставки, </w:t>
      </w:r>
      <w:r>
        <w:rPr>
          <w:rFonts w:cs="Times New Roman"/>
          <w:szCs w:val="28"/>
        </w:rPr>
        <w:t>о</w:t>
      </w:r>
      <w:r w:rsidRPr="00761378">
        <w:rPr>
          <w:rFonts w:cs="Times New Roman"/>
          <w:szCs w:val="28"/>
        </w:rPr>
        <w:t>ставля</w:t>
      </w:r>
      <w:r>
        <w:rPr>
          <w:rFonts w:cs="Times New Roman"/>
          <w:szCs w:val="28"/>
        </w:rPr>
        <w:t>ли</w:t>
      </w:r>
      <w:r w:rsidRPr="00761378">
        <w:rPr>
          <w:rFonts w:cs="Times New Roman"/>
          <w:szCs w:val="28"/>
        </w:rPr>
        <w:t xml:space="preserve"> в холодном физиологическом растворе до момента имплантации.</w:t>
      </w:r>
    </w:p>
    <w:p w:rsidR="00057EB9" w:rsidRPr="00761378" w:rsidRDefault="00057EB9" w:rsidP="00057EB9">
      <w:pPr>
        <w:numPr>
          <w:ilvl w:val="0"/>
          <w:numId w:val="10"/>
        </w:numPr>
        <w:tabs>
          <w:tab w:val="left" w:pos="774"/>
        </w:tabs>
        <w:ind w:left="0" w:firstLine="0"/>
        <w:rPr>
          <w:rFonts w:cs="Times New Roman"/>
          <w:szCs w:val="28"/>
        </w:rPr>
      </w:pPr>
    </w:p>
    <w:p w:rsidR="00057EB9" w:rsidRDefault="00057EB9" w:rsidP="00057EB9">
      <w:pPr>
        <w:pStyle w:val="a7"/>
        <w:numPr>
          <w:ilvl w:val="2"/>
          <w:numId w:val="12"/>
        </w:numPr>
        <w:tabs>
          <w:tab w:val="left" w:pos="1140"/>
        </w:tabs>
        <w:jc w:val="center"/>
        <w:rPr>
          <w:rFonts w:cs="Times New Roman"/>
          <w:b/>
          <w:szCs w:val="28"/>
        </w:rPr>
      </w:pPr>
      <w:bookmarkStart w:id="16" w:name="_Hlk521059546"/>
      <w:r>
        <w:rPr>
          <w:rFonts w:cs="Times New Roman"/>
          <w:b/>
          <w:szCs w:val="28"/>
        </w:rPr>
        <w:t>Подготовка животных</w:t>
      </w:r>
    </w:p>
    <w:p w:rsidR="00057EB9" w:rsidRDefault="00057EB9" w:rsidP="00057EB9">
      <w:pPr>
        <w:ind w:firstLine="708"/>
      </w:pPr>
      <w:r w:rsidRPr="00761378">
        <w:t>На предварительном этапе, за 12 часов до предполагаемого вмешательства животное переставали кормить и переводили на водную диету. Производился осмотр ветеринарным врачом, который подтверждал удовлетворительное состояние животного, о чем производилась запись в экспериментальной истории болезни.</w:t>
      </w:r>
    </w:p>
    <w:p w:rsidR="00057EB9" w:rsidRDefault="00057EB9" w:rsidP="00057EB9">
      <w:pPr>
        <w:ind w:firstLine="708"/>
      </w:pPr>
      <w:r>
        <w:lastRenderedPageBreak/>
        <w:t>У</w:t>
      </w:r>
      <w:r w:rsidRPr="007D680F">
        <w:t>тром в день операции ветеринарный врач выполня</w:t>
      </w:r>
      <w:r>
        <w:t>л</w:t>
      </w:r>
      <w:r w:rsidRPr="007D680F">
        <w:t xml:space="preserve"> премедикацию комбинацией препаратов атропин, золетил-100 и кетамин. Дозировку в каждом конкретном случае выбира</w:t>
      </w:r>
      <w:r>
        <w:t>ли,</w:t>
      </w:r>
      <w:r w:rsidRPr="007D680F">
        <w:t xml:space="preserve"> исходя из веса животного. После наступления сна животное тщательно м</w:t>
      </w:r>
      <w:r>
        <w:t>ыли</w:t>
      </w:r>
      <w:r w:rsidRPr="007D680F">
        <w:t>, выбрива</w:t>
      </w:r>
      <w:r>
        <w:t>ли</w:t>
      </w:r>
      <w:r w:rsidRPr="007D680F">
        <w:t xml:space="preserve"> щетину на ушах, грудной клетке, </w:t>
      </w:r>
      <w:r>
        <w:t xml:space="preserve">шее, </w:t>
      </w:r>
      <w:r w:rsidRPr="007D680F">
        <w:t xml:space="preserve">на внутренней поверхности бедра и на хвосте. </w:t>
      </w:r>
      <w:r>
        <w:t>Затем животное п</w:t>
      </w:r>
      <w:r w:rsidRPr="007D680F">
        <w:t>еренос</w:t>
      </w:r>
      <w:r>
        <w:t>или</w:t>
      </w:r>
      <w:r w:rsidRPr="007D680F">
        <w:t xml:space="preserve"> на операционный стол и закрепля</w:t>
      </w:r>
      <w:r>
        <w:t>ли</w:t>
      </w:r>
      <w:r w:rsidRPr="007D680F">
        <w:t xml:space="preserve"> в положении «на спине». </w:t>
      </w:r>
    </w:p>
    <w:p w:rsidR="00057EB9" w:rsidRDefault="00057EB9" w:rsidP="00057EB9">
      <w:pPr>
        <w:ind w:firstLine="708"/>
      </w:pPr>
      <w:r w:rsidRPr="007D680F">
        <w:t>В краевую вену уха устанавлива</w:t>
      </w:r>
      <w:r>
        <w:t>ли</w:t>
      </w:r>
      <w:r w:rsidRPr="007D680F">
        <w:t xml:space="preserve"> периферический катетер для инъекций подходящего размера, к грудной клетке прикрепля</w:t>
      </w:r>
      <w:r>
        <w:t>ли</w:t>
      </w:r>
      <w:r w:rsidRPr="007D680F">
        <w:t xml:space="preserve"> датчики для электрокардиографии. Плетизмографический датчик для контроля насыщения периферической крови кислородом крепи</w:t>
      </w:r>
      <w:r>
        <w:t>л</w:t>
      </w:r>
      <w:r w:rsidRPr="007D680F">
        <w:t>ся на хвост. Для контроля артериального давления в левую бедренную артерию пункционным способом устанавлива</w:t>
      </w:r>
      <w:r>
        <w:t>ли</w:t>
      </w:r>
      <w:r w:rsidRPr="007D680F">
        <w:t xml:space="preserve"> артериальный катетер, через который присоединя</w:t>
      </w:r>
      <w:r>
        <w:t>ли</w:t>
      </w:r>
      <w:r w:rsidRPr="007D680F">
        <w:t xml:space="preserve"> систему инвазивного контроля давления.</w:t>
      </w:r>
    </w:p>
    <w:p w:rsidR="00057EB9" w:rsidRDefault="00057EB9" w:rsidP="00057EB9">
      <w:pPr>
        <w:ind w:firstLine="708"/>
      </w:pPr>
    </w:p>
    <w:p w:rsidR="00057EB9" w:rsidRPr="000A5BC1" w:rsidRDefault="00057EB9" w:rsidP="00057EB9">
      <w:pPr>
        <w:ind w:firstLine="708"/>
        <w:jc w:val="center"/>
        <w:rPr>
          <w:rFonts w:cs="Times New Roman"/>
          <w:b/>
          <w:szCs w:val="28"/>
        </w:rPr>
      </w:pPr>
      <w:r w:rsidRPr="000A5BC1">
        <w:rPr>
          <w:rFonts w:cs="Times New Roman"/>
          <w:b/>
          <w:szCs w:val="28"/>
        </w:rPr>
        <w:t>2.3.</w:t>
      </w:r>
      <w:r>
        <w:rPr>
          <w:rFonts w:cs="Times New Roman"/>
          <w:b/>
          <w:szCs w:val="28"/>
        </w:rPr>
        <w:t>3</w:t>
      </w:r>
      <w:r w:rsidRPr="000A5BC1">
        <w:rPr>
          <w:rFonts w:cs="Times New Roman"/>
          <w:b/>
          <w:szCs w:val="28"/>
        </w:rPr>
        <w:t xml:space="preserve"> </w:t>
      </w:r>
      <w:r>
        <w:rPr>
          <w:rFonts w:cs="Times New Roman"/>
          <w:b/>
          <w:szCs w:val="28"/>
        </w:rPr>
        <w:t>Анестезия и м</w:t>
      </w:r>
      <w:r w:rsidRPr="000A5BC1">
        <w:rPr>
          <w:rFonts w:cs="Times New Roman"/>
          <w:b/>
          <w:szCs w:val="28"/>
        </w:rPr>
        <w:t xml:space="preserve">ониторниг витальных функций и </w:t>
      </w:r>
    </w:p>
    <w:p w:rsidR="00057EB9" w:rsidRDefault="00057EB9" w:rsidP="00057EB9">
      <w:pPr>
        <w:ind w:firstLine="708"/>
      </w:pPr>
      <w:r w:rsidRPr="007D680F">
        <w:t xml:space="preserve">Все критически важные витальные параметры </w:t>
      </w:r>
      <w:r>
        <w:t xml:space="preserve">организма животного </w:t>
      </w:r>
      <w:r w:rsidRPr="007D680F">
        <w:t>фиксир</w:t>
      </w:r>
      <w:r>
        <w:t>овали</w:t>
      </w:r>
      <w:r w:rsidRPr="007D680F">
        <w:t xml:space="preserve"> в режиме «реального времени» системой мониторинга </w:t>
      </w:r>
      <w:r>
        <w:t xml:space="preserve">типа </w:t>
      </w:r>
      <w:r w:rsidRPr="007D680F">
        <w:t>IntelliVue MP40 (Philips, Германия). Динамик</w:t>
      </w:r>
      <w:r>
        <w:t>у</w:t>
      </w:r>
      <w:r w:rsidRPr="007D680F">
        <w:t xml:space="preserve"> данных фиксир</w:t>
      </w:r>
      <w:r>
        <w:t>овали</w:t>
      </w:r>
      <w:r w:rsidRPr="007D680F">
        <w:t xml:space="preserve"> в наркозной карте экспериментального живот</w:t>
      </w:r>
      <w:r>
        <w:t>ного с периодичностью 15 минут.</w:t>
      </w:r>
    </w:p>
    <w:p w:rsidR="00057EB9" w:rsidRDefault="00057EB9" w:rsidP="00057EB9">
      <w:pPr>
        <w:ind w:firstLine="708"/>
      </w:pPr>
      <w:r>
        <w:t xml:space="preserve">С целью анестезиологического обеспечения операции </w:t>
      </w:r>
      <w:r w:rsidRPr="007D680F">
        <w:t>внутривенно вводи</w:t>
      </w:r>
      <w:r>
        <w:t>л</w:t>
      </w:r>
      <w:r w:rsidRPr="007D680F">
        <w:t>ся миорелаксант (ар</w:t>
      </w:r>
      <w:r>
        <w:t>д</w:t>
      </w:r>
      <w:r w:rsidRPr="007D680F">
        <w:t>уан, 4</w:t>
      </w:r>
      <w:r>
        <w:t> </w:t>
      </w:r>
      <w:r w:rsidRPr="007D680F">
        <w:t>мг) и выполня</w:t>
      </w:r>
      <w:r>
        <w:t>лась</w:t>
      </w:r>
      <w:r w:rsidRPr="007D680F">
        <w:t xml:space="preserve"> интубация трахеи трубкой диаметром 7-8 мм. Раздува</w:t>
      </w:r>
      <w:r>
        <w:t>лась</w:t>
      </w:r>
      <w:r w:rsidRPr="007D680F">
        <w:t xml:space="preserve"> обтурирующая манжета, подсоединя</w:t>
      </w:r>
      <w:r>
        <w:t xml:space="preserve">лся </w:t>
      </w:r>
      <w:bookmarkStart w:id="17" w:name="_Hlk6392669"/>
      <w:r>
        <w:t>наркозно-дыхательный</w:t>
      </w:r>
      <w:r w:rsidRPr="007D680F">
        <w:t xml:space="preserve"> аппарат </w:t>
      </w:r>
      <w:r>
        <w:t xml:space="preserve">типа </w:t>
      </w:r>
      <w:r>
        <w:rPr>
          <w:lang w:val="en-US"/>
        </w:rPr>
        <w:t>Julian</w:t>
      </w:r>
      <w:r w:rsidRPr="003609FD">
        <w:t xml:space="preserve"> (</w:t>
      </w:r>
      <w:r>
        <w:rPr>
          <w:lang w:val="en-US"/>
        </w:rPr>
        <w:t>Draeger</w:t>
      </w:r>
      <w:r w:rsidRPr="003609FD">
        <w:t xml:space="preserve">, </w:t>
      </w:r>
      <w:r>
        <w:t>Германия)</w:t>
      </w:r>
      <w:bookmarkEnd w:id="17"/>
      <w:r w:rsidRPr="007D680F">
        <w:t>, начина</w:t>
      </w:r>
      <w:r>
        <w:t>лась</w:t>
      </w:r>
      <w:r w:rsidRPr="007D680F">
        <w:t xml:space="preserve"> принудительная вентиляция легких газовой смесью кислород-воздух в соотношении 1:1</w:t>
      </w:r>
      <w:r>
        <w:t xml:space="preserve"> с добавлением 3-5% севорана</w:t>
      </w:r>
      <w:r w:rsidRPr="007D680F">
        <w:t xml:space="preserve">. </w:t>
      </w:r>
      <w:proofErr w:type="gramStart"/>
      <w:r>
        <w:t>Для поддержания необходимой глубины наркоза использовали периодическое внутривенное</w:t>
      </w:r>
      <w:r w:rsidRPr="007D680F">
        <w:t xml:space="preserve"> введение эмульсии пропофола в дозе 10</w:t>
      </w:r>
      <w:r>
        <w:t> </w:t>
      </w:r>
      <w:r w:rsidRPr="007D680F">
        <w:t>м</w:t>
      </w:r>
      <w:r>
        <w:t>г</w:t>
      </w:r>
      <w:r w:rsidRPr="007D680F">
        <w:t xml:space="preserve">/кг/ч с помощью автоматического шприцевого насоса </w:t>
      </w:r>
      <w:r>
        <w:t xml:space="preserve">типа </w:t>
      </w:r>
      <w:r w:rsidRPr="007D680F">
        <w:t>PerfusorCompact (</w:t>
      </w:r>
      <w:r>
        <w:t>B.</w:t>
      </w:r>
      <w:proofErr w:type="gramEnd"/>
      <w:r>
        <w:t> </w:t>
      </w:r>
      <w:proofErr w:type="gramStart"/>
      <w:r>
        <w:t>Braun</w:t>
      </w:r>
      <w:r w:rsidRPr="007D680F">
        <w:t>, Германия) через установленный ранее периферический катетер</w:t>
      </w:r>
      <w:r>
        <w:t>.</w:t>
      </w:r>
      <w:proofErr w:type="gramEnd"/>
      <w:r w:rsidRPr="007D680F">
        <w:t xml:space="preserve"> Через него </w:t>
      </w:r>
      <w:r w:rsidRPr="007D680F">
        <w:lastRenderedPageBreak/>
        <w:t>также проводи</w:t>
      </w:r>
      <w:r>
        <w:t>лась</w:t>
      </w:r>
      <w:r w:rsidRPr="007D680F">
        <w:t xml:space="preserve"> инфузионная поддержка кровообращения кристаллоидными (раствор Рингера, изотонический раствор) и/или коллоидными (гел</w:t>
      </w:r>
      <w:r>
        <w:t>о</w:t>
      </w:r>
      <w:r w:rsidRPr="007D680F">
        <w:t>фузин, полиглюкин) растворами. Объем инфузии определя</w:t>
      </w:r>
      <w:r>
        <w:t>лся</w:t>
      </w:r>
      <w:r w:rsidRPr="007D680F">
        <w:t xml:space="preserve"> врачом-ветеринаром согласно </w:t>
      </w:r>
      <w:proofErr w:type="gramStart"/>
      <w:r w:rsidRPr="007D680F">
        <w:t>весо-ростовым</w:t>
      </w:r>
      <w:proofErr w:type="gramEnd"/>
      <w:r w:rsidRPr="007D680F">
        <w:t xml:space="preserve"> показателям экспериментального животного. </w:t>
      </w:r>
    </w:p>
    <w:p w:rsidR="00057EB9" w:rsidRDefault="00057EB9" w:rsidP="00057EB9">
      <w:pPr>
        <w:ind w:firstLine="708"/>
      </w:pPr>
      <w:r w:rsidRPr="007D680F">
        <w:t>При необходимости для контроля диуреза устанавлива</w:t>
      </w:r>
      <w:r>
        <w:t>ли</w:t>
      </w:r>
      <w:r w:rsidRPr="007D680F">
        <w:t xml:space="preserve"> мягкий мочевой катетер.</w:t>
      </w:r>
    </w:p>
    <w:p w:rsidR="00057EB9" w:rsidRDefault="00057EB9" w:rsidP="00057EB9">
      <w:pPr>
        <w:ind w:firstLine="708"/>
      </w:pPr>
    </w:p>
    <w:p w:rsidR="00057EB9" w:rsidRPr="000A5BC1" w:rsidRDefault="00057EB9" w:rsidP="00057EB9">
      <w:pPr>
        <w:jc w:val="center"/>
        <w:rPr>
          <w:b/>
        </w:rPr>
      </w:pPr>
      <w:r w:rsidRPr="000A5BC1">
        <w:rPr>
          <w:b/>
        </w:rPr>
        <w:t>2.3.4. Выполнение оперативного доступа</w:t>
      </w:r>
    </w:p>
    <w:p w:rsidR="00057EB9" w:rsidRDefault="00057EB9" w:rsidP="00057EB9">
      <w:pPr>
        <w:ind w:firstLine="708"/>
      </w:pPr>
      <w:r w:rsidRPr="009D08E1">
        <w:t xml:space="preserve">Для </w:t>
      </w:r>
      <w:r>
        <w:t>имплантац</w:t>
      </w:r>
      <w:proofErr w:type="gramStart"/>
      <w:r>
        <w:t>ии ао</w:t>
      </w:r>
      <w:proofErr w:type="gramEnd"/>
      <w:r>
        <w:t>ртального клапана</w:t>
      </w:r>
      <w:r w:rsidRPr="009D08E1">
        <w:t xml:space="preserve"> использ</w:t>
      </w:r>
      <w:r>
        <w:t>овали</w:t>
      </w:r>
      <w:r w:rsidRPr="009D08E1">
        <w:t xml:space="preserve"> доступ через </w:t>
      </w:r>
      <w:r>
        <w:t>сонную</w:t>
      </w:r>
      <w:r w:rsidRPr="009D08E1">
        <w:t xml:space="preserve"> артерию. </w:t>
      </w:r>
      <w:r>
        <w:t>С этой целью</w:t>
      </w:r>
      <w:r w:rsidRPr="009D08E1">
        <w:t xml:space="preserve"> кож</w:t>
      </w:r>
      <w:r>
        <w:t>у</w:t>
      </w:r>
      <w:r w:rsidRPr="009D08E1">
        <w:t xml:space="preserve"> операционного поля в проекции правой </w:t>
      </w:r>
      <w:r>
        <w:t>сонной</w:t>
      </w:r>
      <w:r w:rsidRPr="009D08E1">
        <w:t xml:space="preserve"> артерии трижды обрабатыва</w:t>
      </w:r>
      <w:r>
        <w:t>ли</w:t>
      </w:r>
      <w:r w:rsidRPr="009D08E1">
        <w:t xml:space="preserve"> раствором бетадина, при этом каждый раз используя нов</w:t>
      </w:r>
      <w:r>
        <w:t>ую</w:t>
      </w:r>
      <w:r w:rsidRPr="009D08E1">
        <w:t xml:space="preserve"> стерильн</w:t>
      </w:r>
      <w:r>
        <w:t>ую</w:t>
      </w:r>
      <w:r w:rsidRPr="009D08E1">
        <w:t xml:space="preserve"> салфетк</w:t>
      </w:r>
      <w:r>
        <w:t>у</w:t>
      </w:r>
      <w:r w:rsidRPr="009D08E1">
        <w:t>. Операционное поле накрыва</w:t>
      </w:r>
      <w:r>
        <w:t>ли</w:t>
      </w:r>
      <w:r w:rsidRPr="009D08E1">
        <w:t xml:space="preserve"> стерильной простын</w:t>
      </w:r>
      <w:r>
        <w:t>ей</w:t>
      </w:r>
      <w:r w:rsidRPr="009D08E1">
        <w:t xml:space="preserve"> с окном для доступа к коже. Выполня</w:t>
      </w:r>
      <w:r>
        <w:t>ли</w:t>
      </w:r>
      <w:r w:rsidRPr="009D08E1">
        <w:t xml:space="preserve"> кожный разрез, ткани разделя</w:t>
      </w:r>
      <w:r>
        <w:t>ли</w:t>
      </w:r>
      <w:r w:rsidRPr="009D08E1">
        <w:t xml:space="preserve"> ножницами </w:t>
      </w:r>
      <w:r>
        <w:t>«</w:t>
      </w:r>
      <w:r w:rsidRPr="009D08E1">
        <w:t>тупым</w:t>
      </w:r>
      <w:r>
        <w:t>»</w:t>
      </w:r>
      <w:r w:rsidRPr="009D08E1">
        <w:t xml:space="preserve"> способом, визуализир</w:t>
      </w:r>
      <w:r>
        <w:t>овали</w:t>
      </w:r>
      <w:r w:rsidRPr="009D08E1">
        <w:t xml:space="preserve"> </w:t>
      </w:r>
      <w:r>
        <w:t>сонную</w:t>
      </w:r>
      <w:r w:rsidRPr="009D08E1">
        <w:t xml:space="preserve"> артери</w:t>
      </w:r>
      <w:r>
        <w:t>ю</w:t>
      </w:r>
      <w:r w:rsidRPr="009D08E1">
        <w:t>. При необходимости использ</w:t>
      </w:r>
      <w:r>
        <w:t>овали</w:t>
      </w:r>
      <w:r w:rsidRPr="009D08E1">
        <w:t xml:space="preserve"> электронож-коагулятор </w:t>
      </w:r>
      <w:r>
        <w:t xml:space="preserve">типа </w:t>
      </w:r>
      <w:r w:rsidRPr="009D08E1">
        <w:t xml:space="preserve">Force-EZ (Valleylab, США). </w:t>
      </w:r>
    </w:p>
    <w:p w:rsidR="00057EB9" w:rsidRDefault="00057EB9" w:rsidP="00057EB9">
      <w:pPr>
        <w:ind w:firstLine="708"/>
      </w:pPr>
      <w:r w:rsidRPr="009D08E1">
        <w:t>Артери</w:t>
      </w:r>
      <w:r>
        <w:t>ю</w:t>
      </w:r>
      <w:r w:rsidRPr="009D08E1">
        <w:t xml:space="preserve"> выделя</w:t>
      </w:r>
      <w:r>
        <w:t>ли</w:t>
      </w:r>
      <w:r w:rsidRPr="009D08E1">
        <w:t xml:space="preserve"> из окружающих тканей на протяжении 2-5 см, в зоне установки интродьюсера накладыва</w:t>
      </w:r>
      <w:r>
        <w:t>ли</w:t>
      </w:r>
      <w:r w:rsidRPr="009D08E1">
        <w:t xml:space="preserve"> кисетный шов монофиламентной нерассасывающейся полипропиленовой нитью Prolen (или аналог) диаметром 5/0</w:t>
      </w:r>
      <w:r w:rsidRPr="00FC6BB8">
        <w:t xml:space="preserve"> </w:t>
      </w:r>
      <w:r w:rsidRPr="00776676">
        <w:t>USP</w:t>
      </w:r>
      <w:r w:rsidRPr="009D08E1">
        <w:t xml:space="preserve"> с атравматической иглой. Поверхность артерии ороша</w:t>
      </w:r>
      <w:r>
        <w:t>ли</w:t>
      </w:r>
      <w:r w:rsidRPr="009D08E1">
        <w:t xml:space="preserve"> раствором атропина для снижения спастической реакции. Только после этого артери</w:t>
      </w:r>
      <w:r>
        <w:t>ю</w:t>
      </w:r>
      <w:r w:rsidRPr="009D08E1">
        <w:t xml:space="preserve"> пунктир</w:t>
      </w:r>
      <w:r>
        <w:t>овали</w:t>
      </w:r>
      <w:r w:rsidRPr="009D08E1">
        <w:t xml:space="preserve"> иглой внутри области наложения кисетного шва, заводи</w:t>
      </w:r>
      <w:r>
        <w:t>ли</w:t>
      </w:r>
      <w:r w:rsidRPr="009D08E1">
        <w:t xml:space="preserve"> проволочный проводник и устанавлива</w:t>
      </w:r>
      <w:r>
        <w:t>ли</w:t>
      </w:r>
      <w:r w:rsidRPr="009D08E1">
        <w:t xml:space="preserve"> интродьюсер </w:t>
      </w:r>
      <w:r>
        <w:t xml:space="preserve">сначала размером 7 </w:t>
      </w:r>
      <w:r>
        <w:rPr>
          <w:lang w:val="en-US"/>
        </w:rPr>
        <w:t>Fr</w:t>
      </w:r>
      <w:r w:rsidRPr="007E3435">
        <w:t xml:space="preserve">, </w:t>
      </w:r>
      <w:r>
        <w:t xml:space="preserve">затем 10 </w:t>
      </w:r>
      <w:r>
        <w:rPr>
          <w:lang w:val="en-US"/>
        </w:rPr>
        <w:t>Fr</w:t>
      </w:r>
      <w:r w:rsidRPr="007E3435">
        <w:t xml:space="preserve"> </w:t>
      </w:r>
      <w:r>
        <w:t xml:space="preserve">или 11 </w:t>
      </w:r>
      <w:r>
        <w:rPr>
          <w:lang w:val="en-US"/>
        </w:rPr>
        <w:t>Fr</w:t>
      </w:r>
      <w:r>
        <w:t xml:space="preserve">, а потом </w:t>
      </w:r>
      <w:r w:rsidRPr="009D08E1">
        <w:t xml:space="preserve">размером </w:t>
      </w:r>
      <w:r>
        <w:t>18</w:t>
      </w:r>
      <w:r w:rsidRPr="00041410">
        <w:t xml:space="preserve"> </w:t>
      </w:r>
      <w:r>
        <w:rPr>
          <w:lang w:val="en-US"/>
        </w:rPr>
        <w:t>Fr</w:t>
      </w:r>
      <w:r w:rsidRPr="009D08E1">
        <w:t xml:space="preserve">. </w:t>
      </w:r>
    </w:p>
    <w:p w:rsidR="00057EB9" w:rsidRDefault="00057EB9" w:rsidP="00057EB9">
      <w:pPr>
        <w:ind w:firstLine="708"/>
      </w:pPr>
      <w:r w:rsidRPr="009D08E1">
        <w:t>В интродьюсер вводи</w:t>
      </w:r>
      <w:r>
        <w:t>ли</w:t>
      </w:r>
      <w:r w:rsidRPr="009D08E1">
        <w:t xml:space="preserve"> проволочный проводник и интервенционный эндоваскулярный катетер типа «pig-tail». </w:t>
      </w:r>
      <w:r>
        <w:t xml:space="preserve">С помощью </w:t>
      </w:r>
      <w:r w:rsidRPr="009D08E1">
        <w:t>рентгеновск</w:t>
      </w:r>
      <w:r>
        <w:t>ой</w:t>
      </w:r>
      <w:r w:rsidRPr="009D08E1">
        <w:t xml:space="preserve"> установк</w:t>
      </w:r>
      <w:r>
        <w:t>и</w:t>
      </w:r>
      <w:r w:rsidRPr="009D08E1">
        <w:t xml:space="preserve"> </w:t>
      </w:r>
      <w:r>
        <w:t xml:space="preserve">типа </w:t>
      </w:r>
      <w:r w:rsidRPr="009D08E1">
        <w:t>OEC9800 (</w:t>
      </w:r>
      <w:r w:rsidRPr="00776676">
        <w:t>GE</w:t>
      </w:r>
      <w:r w:rsidRPr="009D08E1">
        <w:t xml:space="preserve"> </w:t>
      </w:r>
      <w:r w:rsidRPr="00776676">
        <w:t>HealthCare</w:t>
      </w:r>
      <w:r w:rsidRPr="009D08E1">
        <w:t>, США)</w:t>
      </w:r>
      <w:r>
        <w:t xml:space="preserve"> в</w:t>
      </w:r>
      <w:r w:rsidRPr="009D08E1">
        <w:t>изуализир</w:t>
      </w:r>
      <w:r>
        <w:t>овали</w:t>
      </w:r>
      <w:r w:rsidRPr="009D08E1">
        <w:t xml:space="preserve"> проводник и катетер, которые наход</w:t>
      </w:r>
      <w:r>
        <w:t>ились</w:t>
      </w:r>
      <w:r w:rsidRPr="009D08E1">
        <w:t xml:space="preserve"> внутри просвета </w:t>
      </w:r>
      <w:r>
        <w:t>сонной</w:t>
      </w:r>
      <w:r w:rsidRPr="009D08E1">
        <w:t xml:space="preserve"> артерии. Выполня</w:t>
      </w:r>
      <w:r>
        <w:t>ли</w:t>
      </w:r>
      <w:r w:rsidRPr="009D08E1">
        <w:t xml:space="preserve"> </w:t>
      </w:r>
      <w:proofErr w:type="gramStart"/>
      <w:r w:rsidRPr="009D08E1">
        <w:lastRenderedPageBreak/>
        <w:t>контрольн</w:t>
      </w:r>
      <w:r>
        <w:t>ую</w:t>
      </w:r>
      <w:proofErr w:type="gramEnd"/>
      <w:r w:rsidRPr="009D08E1">
        <w:t xml:space="preserve"> артериографи</w:t>
      </w:r>
      <w:r>
        <w:t>ю</w:t>
      </w:r>
      <w:r w:rsidRPr="009D08E1">
        <w:t xml:space="preserve"> введением 5-20 мл изоосмолярного рентген-контрастного препарата визипак-320 (или аналога). </w:t>
      </w:r>
      <w:bookmarkStart w:id="18" w:name="_Hlk6393174"/>
    </w:p>
    <w:p w:rsidR="00057EB9" w:rsidRDefault="00057EB9" w:rsidP="00057EB9">
      <w:pPr>
        <w:ind w:firstLine="708"/>
      </w:pPr>
      <w:r>
        <w:t>Выполняли чреспищеводное и/или стандартное трансторакальное эхокардиографическое исследование (ЭхоКГ)</w:t>
      </w:r>
      <w:bookmarkEnd w:id="18"/>
      <w:r>
        <w:t xml:space="preserve">, которое </w:t>
      </w:r>
      <w:r w:rsidRPr="0025156A">
        <w:t>проводи</w:t>
      </w:r>
      <w:r>
        <w:t>ли</w:t>
      </w:r>
      <w:r w:rsidRPr="0025156A">
        <w:t xml:space="preserve"> по стандартному протоколу </w:t>
      </w:r>
      <w:r w:rsidRPr="00DA407F">
        <w:t>на ультразвуков</w:t>
      </w:r>
      <w:r>
        <w:t>ом</w:t>
      </w:r>
      <w:r w:rsidRPr="00DA407F">
        <w:t xml:space="preserve"> аппарат</w:t>
      </w:r>
      <w:r>
        <w:t>е</w:t>
      </w:r>
      <w:r w:rsidRPr="00DA407F">
        <w:t xml:space="preserve"> </w:t>
      </w:r>
      <w:r>
        <w:t>типа</w:t>
      </w:r>
      <w:r w:rsidRPr="00DA407F">
        <w:t xml:space="preserve"> </w:t>
      </w:r>
      <w:r w:rsidRPr="00B7509A">
        <w:t>Philips</w:t>
      </w:r>
      <w:r w:rsidRPr="004E10A1">
        <w:t xml:space="preserve"> IE 33 (Германия). </w:t>
      </w:r>
      <w:r>
        <w:t>В работе и</w:t>
      </w:r>
      <w:r w:rsidRPr="004E10A1">
        <w:t>спольз</w:t>
      </w:r>
      <w:r>
        <w:t>овались</w:t>
      </w:r>
      <w:r w:rsidRPr="004E10A1">
        <w:t xml:space="preserve"> стандартные транст</w:t>
      </w:r>
      <w:r w:rsidRPr="00C60E9E">
        <w:t>оракальные позиции и проекции. В процессе эхокардиографического исследования пров</w:t>
      </w:r>
      <w:r>
        <w:t>одили</w:t>
      </w:r>
      <w:r w:rsidRPr="00C60E9E">
        <w:t xml:space="preserve"> измерения форм и размеров камер сердца, внутрисердечных структур, аорты и легочной артерии, исключ</w:t>
      </w:r>
      <w:r>
        <w:t>али</w:t>
      </w:r>
      <w:r w:rsidRPr="00C60E9E">
        <w:t xml:space="preserve"> наличие врожденных и приобретенных аномалий развития структур сердца. </w:t>
      </w:r>
    </w:p>
    <w:p w:rsidR="00057EB9" w:rsidRPr="00761378" w:rsidRDefault="00057EB9" w:rsidP="00057EB9">
      <w:pPr>
        <w:ind w:firstLine="708"/>
      </w:pPr>
    </w:p>
    <w:p w:rsidR="00057EB9" w:rsidRPr="000A5BC1" w:rsidRDefault="00057EB9" w:rsidP="00057EB9">
      <w:pPr>
        <w:pStyle w:val="a7"/>
        <w:numPr>
          <w:ilvl w:val="2"/>
          <w:numId w:val="13"/>
        </w:numPr>
        <w:tabs>
          <w:tab w:val="left" w:pos="1140"/>
        </w:tabs>
        <w:jc w:val="center"/>
        <w:rPr>
          <w:rFonts w:cs="Times New Roman"/>
          <w:b/>
          <w:szCs w:val="28"/>
        </w:rPr>
      </w:pPr>
      <w:r w:rsidRPr="000A5BC1">
        <w:rPr>
          <w:rFonts w:cs="Times New Roman"/>
          <w:b/>
          <w:szCs w:val="28"/>
        </w:rPr>
        <w:t>Имплантация клапана</w:t>
      </w:r>
      <w:bookmarkEnd w:id="16"/>
    </w:p>
    <w:p w:rsidR="00057EB9" w:rsidRDefault="00057EB9" w:rsidP="00057EB9">
      <w:pPr>
        <w:tabs>
          <w:tab w:val="left" w:pos="1140"/>
        </w:tabs>
        <w:ind w:firstLine="709"/>
        <w:rPr>
          <w:rFonts w:cs="Times New Roman"/>
          <w:szCs w:val="28"/>
        </w:rPr>
      </w:pPr>
      <w:r w:rsidRPr="004C752B">
        <w:rPr>
          <w:rFonts w:cs="Times New Roman"/>
          <w:szCs w:val="28"/>
        </w:rPr>
        <w:t>Имплантацию клапана осуществляли</w:t>
      </w:r>
      <w:r>
        <w:rPr>
          <w:rFonts w:cs="Times New Roman"/>
          <w:szCs w:val="28"/>
        </w:rPr>
        <w:t xml:space="preserve"> по рекомендациям производителя. Для этого производили под</w:t>
      </w:r>
      <w:r w:rsidRPr="004C752B">
        <w:rPr>
          <w:rFonts w:cs="Times New Roman"/>
          <w:szCs w:val="28"/>
        </w:rPr>
        <w:t>готов</w:t>
      </w:r>
      <w:r>
        <w:rPr>
          <w:rFonts w:cs="Times New Roman"/>
          <w:szCs w:val="28"/>
        </w:rPr>
        <w:t>ку</w:t>
      </w:r>
      <w:r w:rsidRPr="004C752B">
        <w:rPr>
          <w:rFonts w:cs="Times New Roman"/>
          <w:szCs w:val="28"/>
        </w:rPr>
        <w:t xml:space="preserve"> место сосудистого доступа</w:t>
      </w:r>
      <w:r>
        <w:rPr>
          <w:rFonts w:cs="Times New Roman"/>
          <w:szCs w:val="28"/>
        </w:rPr>
        <w:t xml:space="preserve"> согласно стандартной практике. </w:t>
      </w:r>
      <w:r w:rsidRPr="004C752B">
        <w:rPr>
          <w:rFonts w:cs="Times New Roman"/>
          <w:szCs w:val="28"/>
        </w:rPr>
        <w:t>Устан</w:t>
      </w:r>
      <w:r>
        <w:rPr>
          <w:rFonts w:cs="Times New Roman"/>
          <w:szCs w:val="28"/>
        </w:rPr>
        <w:t>авливали</w:t>
      </w:r>
      <w:r w:rsidRPr="004C752B">
        <w:rPr>
          <w:rFonts w:cs="Times New Roman"/>
          <w:szCs w:val="28"/>
        </w:rPr>
        <w:t xml:space="preserve"> в месте сосудистого доступа интродьюсер 18 Fr для проведения системы </w:t>
      </w:r>
      <w:r>
        <w:rPr>
          <w:rFonts w:cs="Times New Roman"/>
          <w:szCs w:val="28"/>
        </w:rPr>
        <w:t xml:space="preserve">доставки. Затем </w:t>
      </w:r>
      <w:r w:rsidRPr="004C752B">
        <w:rPr>
          <w:rFonts w:cs="Times New Roman"/>
          <w:szCs w:val="28"/>
        </w:rPr>
        <w:t>выполн</w:t>
      </w:r>
      <w:r>
        <w:rPr>
          <w:rFonts w:cs="Times New Roman"/>
          <w:szCs w:val="28"/>
        </w:rPr>
        <w:t xml:space="preserve">яли </w:t>
      </w:r>
      <w:r w:rsidRPr="004C752B">
        <w:rPr>
          <w:rFonts w:cs="Times New Roman"/>
          <w:szCs w:val="28"/>
        </w:rPr>
        <w:t>предилатацию аортального клапана с помощью баллона для вальвулопластики подходящего диаметра.</w:t>
      </w:r>
      <w:r>
        <w:rPr>
          <w:rFonts w:cs="Times New Roman"/>
          <w:szCs w:val="28"/>
        </w:rPr>
        <w:t xml:space="preserve"> </w:t>
      </w:r>
      <w:proofErr w:type="gramStart"/>
      <w:r w:rsidRPr="004C752B">
        <w:rPr>
          <w:rFonts w:cs="Times New Roman"/>
          <w:szCs w:val="28"/>
        </w:rPr>
        <w:t>Зав</w:t>
      </w:r>
      <w:r>
        <w:rPr>
          <w:rFonts w:cs="Times New Roman"/>
          <w:szCs w:val="28"/>
        </w:rPr>
        <w:t xml:space="preserve">одили </w:t>
      </w:r>
      <w:r w:rsidRPr="004C752B">
        <w:rPr>
          <w:rFonts w:cs="Times New Roman"/>
          <w:szCs w:val="28"/>
        </w:rPr>
        <w:t xml:space="preserve"> предварительно установленный в тело </w:t>
      </w:r>
      <w:r>
        <w:rPr>
          <w:rFonts w:cs="Times New Roman"/>
          <w:szCs w:val="28"/>
        </w:rPr>
        <w:t>животного</w:t>
      </w:r>
      <w:r w:rsidRPr="004C752B">
        <w:rPr>
          <w:rFonts w:cs="Times New Roman"/>
          <w:szCs w:val="28"/>
        </w:rPr>
        <w:t xml:space="preserve"> «супержесткий» проводник 0,035 дюйма в центральный ш</w:t>
      </w:r>
      <w:r>
        <w:rPr>
          <w:rFonts w:cs="Times New Roman"/>
          <w:szCs w:val="28"/>
        </w:rPr>
        <w:t>афт системы доставки.</w:t>
      </w:r>
      <w:proofErr w:type="gramEnd"/>
      <w:r>
        <w:rPr>
          <w:rFonts w:cs="Times New Roman"/>
          <w:szCs w:val="28"/>
        </w:rPr>
        <w:t xml:space="preserve"> </w:t>
      </w:r>
      <w:r w:rsidRPr="004C752B">
        <w:rPr>
          <w:rFonts w:cs="Times New Roman"/>
          <w:szCs w:val="28"/>
        </w:rPr>
        <w:t>Удерживая проводник под рентгеноскопическим контролем, продви</w:t>
      </w:r>
      <w:r>
        <w:rPr>
          <w:rFonts w:cs="Times New Roman"/>
          <w:szCs w:val="28"/>
        </w:rPr>
        <w:t>гали</w:t>
      </w:r>
      <w:r w:rsidRPr="004C752B">
        <w:rPr>
          <w:rFonts w:cs="Times New Roman"/>
          <w:szCs w:val="28"/>
        </w:rPr>
        <w:t xml:space="preserve"> систему доставки до фиброзного кольца аортального клапана</w:t>
      </w:r>
      <w:r>
        <w:rPr>
          <w:rFonts w:cs="Times New Roman"/>
          <w:szCs w:val="28"/>
        </w:rPr>
        <w:t>, избегая при этом</w:t>
      </w:r>
      <w:r w:rsidRPr="004C752B">
        <w:rPr>
          <w:rFonts w:cs="Times New Roman"/>
          <w:szCs w:val="28"/>
        </w:rPr>
        <w:t xml:space="preserve"> вращ</w:t>
      </w:r>
      <w:r>
        <w:rPr>
          <w:rFonts w:cs="Times New Roman"/>
          <w:szCs w:val="28"/>
        </w:rPr>
        <w:t>ения</w:t>
      </w:r>
      <w:r w:rsidRPr="004C752B">
        <w:rPr>
          <w:rFonts w:cs="Times New Roman"/>
          <w:szCs w:val="28"/>
        </w:rPr>
        <w:t xml:space="preserve"> систему до</w:t>
      </w:r>
      <w:r>
        <w:rPr>
          <w:rFonts w:cs="Times New Roman"/>
          <w:szCs w:val="28"/>
        </w:rPr>
        <w:t xml:space="preserve">ставки по мере его продвижения. </w:t>
      </w:r>
      <w:r w:rsidRPr="004C752B">
        <w:rPr>
          <w:rFonts w:cs="Times New Roman"/>
          <w:szCs w:val="28"/>
        </w:rPr>
        <w:t>Разме</w:t>
      </w:r>
      <w:r>
        <w:rPr>
          <w:rFonts w:cs="Times New Roman"/>
          <w:szCs w:val="28"/>
        </w:rPr>
        <w:t>щали</w:t>
      </w:r>
      <w:r w:rsidRPr="004C752B">
        <w:rPr>
          <w:rFonts w:cs="Times New Roman"/>
          <w:szCs w:val="28"/>
        </w:rPr>
        <w:t xml:space="preserve"> систему доставки таким образом, чтобы рентгеноконтрастная метка находилась за фиброзным кольцом нативного клапана на 3-4 мм. Выб</w:t>
      </w:r>
      <w:r>
        <w:rPr>
          <w:rFonts w:cs="Times New Roman"/>
          <w:szCs w:val="28"/>
        </w:rPr>
        <w:t xml:space="preserve">ирали </w:t>
      </w:r>
      <w:r w:rsidRPr="004C752B">
        <w:rPr>
          <w:rFonts w:cs="Times New Roman"/>
          <w:szCs w:val="28"/>
        </w:rPr>
        <w:t>проекцию, в которой рентгеноконтрастная метка б</w:t>
      </w:r>
      <w:r>
        <w:rPr>
          <w:rFonts w:cs="Times New Roman"/>
          <w:szCs w:val="28"/>
        </w:rPr>
        <w:t>удет представлена одной линией, после чего начинали</w:t>
      </w:r>
      <w:r w:rsidRPr="004C752B">
        <w:rPr>
          <w:rFonts w:cs="Times New Roman"/>
          <w:szCs w:val="28"/>
        </w:rPr>
        <w:t xml:space="preserve"> освобождение клапана от защитного чехла, вращая рукоятку. </w:t>
      </w:r>
      <w:r>
        <w:rPr>
          <w:rFonts w:cs="Times New Roman"/>
          <w:szCs w:val="28"/>
        </w:rPr>
        <w:t xml:space="preserve">При этом </w:t>
      </w:r>
      <w:r w:rsidRPr="004C752B">
        <w:rPr>
          <w:rFonts w:cs="Times New Roman"/>
          <w:szCs w:val="28"/>
        </w:rPr>
        <w:t>учитыва</w:t>
      </w:r>
      <w:r>
        <w:rPr>
          <w:rFonts w:cs="Times New Roman"/>
          <w:szCs w:val="28"/>
        </w:rPr>
        <w:t>ли</w:t>
      </w:r>
      <w:r w:rsidRPr="004C752B">
        <w:rPr>
          <w:rFonts w:cs="Times New Roman"/>
          <w:szCs w:val="28"/>
        </w:rPr>
        <w:t>, что предпочтительная посадочная зона клапана находится в диапазоне 4</w:t>
      </w:r>
      <w:r w:rsidRPr="004C752B">
        <w:rPr>
          <w:rFonts w:cs="Times New Roman"/>
          <w:szCs w:val="28"/>
        </w:rPr>
        <w:noBreakHyphen/>
      </w:r>
      <w:r>
        <w:rPr>
          <w:rFonts w:cs="Times New Roman"/>
          <w:szCs w:val="28"/>
        </w:rPr>
        <w:t xml:space="preserve">8 мм. </w:t>
      </w:r>
      <w:r w:rsidRPr="004C752B">
        <w:rPr>
          <w:rFonts w:cs="Times New Roman"/>
          <w:szCs w:val="28"/>
        </w:rPr>
        <w:t>Продолжа</w:t>
      </w:r>
      <w:r>
        <w:rPr>
          <w:rFonts w:cs="Times New Roman"/>
          <w:szCs w:val="28"/>
        </w:rPr>
        <w:t>ли</w:t>
      </w:r>
      <w:r w:rsidRPr="004C752B">
        <w:rPr>
          <w:rFonts w:cs="Times New Roman"/>
          <w:szCs w:val="28"/>
        </w:rPr>
        <w:t xml:space="preserve"> вращать рукоятку, освобождая клапан. При необходимости с целью контроля имплантации использ</w:t>
      </w:r>
      <w:r>
        <w:rPr>
          <w:rFonts w:cs="Times New Roman"/>
          <w:szCs w:val="28"/>
        </w:rPr>
        <w:t>овали</w:t>
      </w:r>
      <w:r w:rsidRPr="004C752B">
        <w:rPr>
          <w:rFonts w:cs="Times New Roman"/>
          <w:szCs w:val="28"/>
        </w:rPr>
        <w:t xml:space="preserve"> </w:t>
      </w:r>
      <w:r w:rsidRPr="004C752B">
        <w:rPr>
          <w:rFonts w:cs="Times New Roman"/>
          <w:szCs w:val="28"/>
        </w:rPr>
        <w:lastRenderedPageBreak/>
        <w:t>контрастирование корня аорты. Перед полным раскрытием клапана убе</w:t>
      </w:r>
      <w:r>
        <w:rPr>
          <w:rFonts w:cs="Times New Roman"/>
          <w:szCs w:val="28"/>
        </w:rPr>
        <w:t>ждались</w:t>
      </w:r>
      <w:r w:rsidRPr="004C752B">
        <w:rPr>
          <w:rFonts w:cs="Times New Roman"/>
          <w:szCs w:val="28"/>
        </w:rPr>
        <w:t xml:space="preserve"> в </w:t>
      </w:r>
      <w:r>
        <w:rPr>
          <w:rFonts w:cs="Times New Roman"/>
          <w:szCs w:val="28"/>
        </w:rPr>
        <w:t>отсутствии</w:t>
      </w:r>
      <w:r w:rsidRPr="004C752B">
        <w:rPr>
          <w:rFonts w:cs="Times New Roman"/>
          <w:szCs w:val="28"/>
        </w:rPr>
        <w:t xml:space="preserve"> чрезмерн</w:t>
      </w:r>
      <w:r>
        <w:rPr>
          <w:rFonts w:cs="Times New Roman"/>
          <w:szCs w:val="28"/>
        </w:rPr>
        <w:t>ого натяжения системы доставки.</w:t>
      </w:r>
    </w:p>
    <w:p w:rsidR="00057EB9" w:rsidRPr="004C752B" w:rsidRDefault="00057EB9" w:rsidP="00057EB9">
      <w:pPr>
        <w:tabs>
          <w:tab w:val="left" w:pos="1140"/>
        </w:tabs>
        <w:ind w:firstLine="709"/>
        <w:rPr>
          <w:rFonts w:cs="Times New Roman"/>
          <w:szCs w:val="28"/>
        </w:rPr>
      </w:pPr>
      <w:r w:rsidRPr="004C752B">
        <w:rPr>
          <w:rFonts w:cs="Times New Roman"/>
          <w:szCs w:val="28"/>
        </w:rPr>
        <w:t>После полного раскрытия под рентгеноскопическим контролем на ортогональных проекциях убе</w:t>
      </w:r>
      <w:r>
        <w:rPr>
          <w:rFonts w:cs="Times New Roman"/>
          <w:szCs w:val="28"/>
        </w:rPr>
        <w:t>ждались</w:t>
      </w:r>
      <w:r w:rsidRPr="004C752B">
        <w:rPr>
          <w:rFonts w:cs="Times New Roman"/>
          <w:szCs w:val="28"/>
        </w:rPr>
        <w:t>, что петли каркаса отсоединил</w:t>
      </w:r>
      <w:r>
        <w:rPr>
          <w:rFonts w:cs="Times New Roman"/>
          <w:szCs w:val="28"/>
        </w:rPr>
        <w:t xml:space="preserve">ись от замка крепления клапана. </w:t>
      </w:r>
      <w:r w:rsidRPr="004C752B">
        <w:rPr>
          <w:rFonts w:cs="Times New Roman"/>
          <w:szCs w:val="28"/>
        </w:rPr>
        <w:t>Далее вытягива</w:t>
      </w:r>
      <w:r>
        <w:rPr>
          <w:rFonts w:cs="Times New Roman"/>
          <w:szCs w:val="28"/>
        </w:rPr>
        <w:t>ли</w:t>
      </w:r>
      <w:r w:rsidRPr="004C752B">
        <w:rPr>
          <w:rFonts w:cs="Times New Roman"/>
          <w:szCs w:val="28"/>
        </w:rPr>
        <w:t xml:space="preserve"> систему доставки до тех пор, пока атравматический </w:t>
      </w:r>
      <w:proofErr w:type="gramStart"/>
      <w:r w:rsidRPr="004C752B">
        <w:rPr>
          <w:rFonts w:cs="Times New Roman"/>
          <w:szCs w:val="28"/>
        </w:rPr>
        <w:t>кончик</w:t>
      </w:r>
      <w:r>
        <w:rPr>
          <w:rFonts w:cs="Times New Roman"/>
          <w:szCs w:val="28"/>
        </w:rPr>
        <w:t xml:space="preserve"> не достигнет</w:t>
      </w:r>
      <w:proofErr w:type="gramEnd"/>
      <w:r>
        <w:rPr>
          <w:rFonts w:cs="Times New Roman"/>
          <w:szCs w:val="28"/>
        </w:rPr>
        <w:t xml:space="preserve"> нисходящей аорты. </w:t>
      </w:r>
      <w:r w:rsidRPr="004C752B">
        <w:rPr>
          <w:rFonts w:cs="Times New Roman"/>
          <w:szCs w:val="28"/>
        </w:rPr>
        <w:t>Перед извлечением системы доставки закр</w:t>
      </w:r>
      <w:r>
        <w:rPr>
          <w:rFonts w:cs="Times New Roman"/>
          <w:szCs w:val="28"/>
        </w:rPr>
        <w:t xml:space="preserve">ывали </w:t>
      </w:r>
      <w:r w:rsidRPr="004C752B">
        <w:rPr>
          <w:rFonts w:cs="Times New Roman"/>
          <w:szCs w:val="28"/>
        </w:rPr>
        <w:t>защитный чехол, переместив подвижную рукоятку</w:t>
      </w:r>
      <w:r>
        <w:rPr>
          <w:rFonts w:cs="Times New Roman"/>
          <w:szCs w:val="28"/>
        </w:rPr>
        <w:t xml:space="preserve"> в крайнее дистальное положение</w:t>
      </w:r>
      <w:bookmarkStart w:id="19" w:name="_Hlk6303640"/>
      <w:r>
        <w:rPr>
          <w:rFonts w:cs="Times New Roman"/>
          <w:szCs w:val="28"/>
        </w:rPr>
        <w:t>. После и</w:t>
      </w:r>
      <w:r w:rsidRPr="004C752B">
        <w:rPr>
          <w:rFonts w:cs="Times New Roman"/>
          <w:szCs w:val="28"/>
        </w:rPr>
        <w:t>звле</w:t>
      </w:r>
      <w:r>
        <w:rPr>
          <w:rFonts w:cs="Times New Roman"/>
          <w:szCs w:val="28"/>
        </w:rPr>
        <w:t>чения</w:t>
      </w:r>
      <w:r w:rsidRPr="004C752B">
        <w:rPr>
          <w:rFonts w:cs="Times New Roman"/>
          <w:szCs w:val="28"/>
        </w:rPr>
        <w:t xml:space="preserve"> систем</w:t>
      </w:r>
      <w:r>
        <w:rPr>
          <w:rFonts w:cs="Times New Roman"/>
          <w:szCs w:val="28"/>
        </w:rPr>
        <w:t>ы</w:t>
      </w:r>
      <w:r w:rsidRPr="004C752B">
        <w:rPr>
          <w:rFonts w:cs="Times New Roman"/>
          <w:szCs w:val="28"/>
        </w:rPr>
        <w:t xml:space="preserve"> доставки </w:t>
      </w:r>
      <w:r>
        <w:rPr>
          <w:rFonts w:cs="Times New Roman"/>
          <w:szCs w:val="28"/>
        </w:rPr>
        <w:t>ее</w:t>
      </w:r>
      <w:r w:rsidRPr="004C752B">
        <w:rPr>
          <w:rFonts w:cs="Times New Roman"/>
          <w:szCs w:val="28"/>
        </w:rPr>
        <w:t xml:space="preserve"> утилизир</w:t>
      </w:r>
      <w:r>
        <w:rPr>
          <w:rFonts w:cs="Times New Roman"/>
          <w:szCs w:val="28"/>
        </w:rPr>
        <w:t xml:space="preserve">овали. Затем </w:t>
      </w:r>
      <w:bookmarkEnd w:id="19"/>
      <w:r>
        <w:rPr>
          <w:rFonts w:cs="Times New Roman"/>
          <w:szCs w:val="28"/>
        </w:rPr>
        <w:t>в</w:t>
      </w:r>
      <w:r w:rsidRPr="004C752B">
        <w:rPr>
          <w:rFonts w:cs="Times New Roman"/>
          <w:szCs w:val="28"/>
        </w:rPr>
        <w:t>ыполн</w:t>
      </w:r>
      <w:r>
        <w:rPr>
          <w:rFonts w:cs="Times New Roman"/>
          <w:szCs w:val="28"/>
        </w:rPr>
        <w:t xml:space="preserve">яли </w:t>
      </w:r>
      <w:r w:rsidRPr="004C752B">
        <w:rPr>
          <w:rFonts w:cs="Times New Roman"/>
          <w:szCs w:val="28"/>
        </w:rPr>
        <w:t>стандартную аортограмму, чтобы оценить правильность раскрытия клапана.</w:t>
      </w:r>
    </w:p>
    <w:p w:rsidR="00057EB9" w:rsidRDefault="00057EB9" w:rsidP="00057EB9">
      <w:pPr>
        <w:ind w:firstLine="708"/>
      </w:pPr>
    </w:p>
    <w:p w:rsidR="00057EB9" w:rsidRPr="000A5BC1" w:rsidRDefault="00057EB9" w:rsidP="00057EB9">
      <w:pPr>
        <w:jc w:val="center"/>
        <w:rPr>
          <w:b/>
        </w:rPr>
      </w:pPr>
      <w:r w:rsidRPr="000A5BC1">
        <w:rPr>
          <w:b/>
        </w:rPr>
        <w:t>2.3.6. Ведение послеоперационного периода</w:t>
      </w:r>
    </w:p>
    <w:p w:rsidR="00057EB9" w:rsidRDefault="00057EB9" w:rsidP="00057EB9">
      <w:pPr>
        <w:ind w:firstLine="708"/>
      </w:pPr>
      <w:r>
        <w:t>П</w:t>
      </w:r>
      <w:r w:rsidRPr="009D08E1">
        <w:t xml:space="preserve">осле </w:t>
      </w:r>
      <w:r>
        <w:t>имплантации клапана</w:t>
      </w:r>
      <w:r w:rsidRPr="009D08E1">
        <w:t xml:space="preserve"> удаля</w:t>
      </w:r>
      <w:r>
        <w:t>ли</w:t>
      </w:r>
      <w:r w:rsidRPr="009D08E1">
        <w:t xml:space="preserve"> интродьюсер с одновременным затягиванием кисетного шва на </w:t>
      </w:r>
      <w:r w:rsidRPr="00FF7B8C">
        <w:t>сонной</w:t>
      </w:r>
      <w:r w:rsidRPr="009D08E1">
        <w:t xml:space="preserve"> артерии. </w:t>
      </w:r>
      <w:r>
        <w:t>Затем осуществлялся к</w:t>
      </w:r>
      <w:r w:rsidRPr="009D08E1">
        <w:t>онтрол</w:t>
      </w:r>
      <w:r>
        <w:t>ь</w:t>
      </w:r>
      <w:r w:rsidRPr="009D08E1">
        <w:t xml:space="preserve"> отсутстви</w:t>
      </w:r>
      <w:r>
        <w:t>я</w:t>
      </w:r>
      <w:r w:rsidRPr="009D08E1">
        <w:t xml:space="preserve"> кровотечения, при необходимости выполня</w:t>
      </w:r>
      <w:r>
        <w:t>ли</w:t>
      </w:r>
      <w:r w:rsidRPr="009D08E1">
        <w:t xml:space="preserve"> </w:t>
      </w:r>
      <w:r>
        <w:t>«</w:t>
      </w:r>
      <w:r w:rsidRPr="009D08E1">
        <w:t>хирургический</w:t>
      </w:r>
      <w:r>
        <w:t>»</w:t>
      </w:r>
      <w:r w:rsidRPr="009D08E1">
        <w:t xml:space="preserve"> гемостаз. Ран</w:t>
      </w:r>
      <w:r>
        <w:t>у</w:t>
      </w:r>
      <w:r w:rsidRPr="009D08E1">
        <w:t xml:space="preserve"> послойно ушива</w:t>
      </w:r>
      <w:r>
        <w:t>ли</w:t>
      </w:r>
      <w:r w:rsidRPr="009D08E1">
        <w:t xml:space="preserve"> нерассасывающейся полипропиленовой нитью Prolen (или аналог) диаметром 2/0 </w:t>
      </w:r>
      <w:r w:rsidRPr="00776676">
        <w:t>USP</w:t>
      </w:r>
      <w:r w:rsidRPr="00455AE4">
        <w:t xml:space="preserve"> </w:t>
      </w:r>
      <w:r w:rsidRPr="009D08E1">
        <w:t>и/или 3/0</w:t>
      </w:r>
      <w:r>
        <w:t> </w:t>
      </w:r>
      <w:r w:rsidRPr="00776676">
        <w:t>USP</w:t>
      </w:r>
      <w:r w:rsidRPr="00455AE4">
        <w:t xml:space="preserve"> </w:t>
      </w:r>
      <w:r w:rsidRPr="009D08E1">
        <w:t>с атравматической иглой. Кожу ушива</w:t>
      </w:r>
      <w:r>
        <w:t>ли</w:t>
      </w:r>
      <w:r w:rsidRPr="009D08E1">
        <w:t xml:space="preserve"> отдельными швами. </w:t>
      </w:r>
    </w:p>
    <w:p w:rsidR="00057EB9" w:rsidRDefault="00057EB9" w:rsidP="00057EB9">
      <w:pPr>
        <w:ind w:firstLine="708"/>
      </w:pPr>
      <w:r w:rsidRPr="009D08E1">
        <w:t>Место кожного разреза обрабатыва</w:t>
      </w:r>
      <w:r>
        <w:t>ли</w:t>
      </w:r>
      <w:r w:rsidRPr="009D08E1">
        <w:t xml:space="preserve"> ветеринарным полимерным антисептическим составом, содержащим окись алюминия, путем распыления из баллона до формирования однородной пленки. На область доступа к </w:t>
      </w:r>
      <w:r>
        <w:t>сонной</w:t>
      </w:r>
      <w:r w:rsidRPr="009D08E1">
        <w:t xml:space="preserve"> артерии накладыва</w:t>
      </w:r>
      <w:r>
        <w:t>ли</w:t>
      </w:r>
      <w:r w:rsidRPr="009D08E1">
        <w:t xml:space="preserve"> давящ</w:t>
      </w:r>
      <w:r>
        <w:t>ую</w:t>
      </w:r>
      <w:r w:rsidRPr="009D08E1">
        <w:t xml:space="preserve"> повязк</w:t>
      </w:r>
      <w:r>
        <w:t>у</w:t>
      </w:r>
      <w:r w:rsidRPr="009D08E1">
        <w:t>. Для снижения отека тканей и достижения гемостаза к повязке сроком на 30-60 минут добавля</w:t>
      </w:r>
      <w:r>
        <w:t>ли</w:t>
      </w:r>
      <w:r w:rsidRPr="009D08E1">
        <w:t xml:space="preserve"> термоконтейнер, охлажденный до температуры минус 20</w:t>
      </w:r>
      <w:r>
        <w:t> º</w:t>
      </w:r>
      <w:r w:rsidRPr="00776676">
        <w:t>C</w:t>
      </w:r>
      <w:r w:rsidRPr="009D08E1">
        <w:t xml:space="preserve">. </w:t>
      </w:r>
    </w:p>
    <w:p w:rsidR="00057EB9" w:rsidRDefault="00057EB9" w:rsidP="00057EB9">
      <w:pPr>
        <w:ind w:firstLine="708"/>
      </w:pPr>
      <w:r w:rsidRPr="009D08E1">
        <w:t>В течение всего послеоперационного периода до момента выхода животного из наркоза осуществля</w:t>
      </w:r>
      <w:r>
        <w:t>ли</w:t>
      </w:r>
      <w:r w:rsidRPr="009D08E1">
        <w:t xml:space="preserve"> пальпаторное исследование области хирургического доступа на предмет развития кровотечения. </w:t>
      </w:r>
      <w:r>
        <w:t xml:space="preserve">Мониторинг ЭКГ проводили в течение всего времени вывода животного из наркоза. </w:t>
      </w:r>
      <w:r w:rsidRPr="009D08E1">
        <w:t>Прекраща</w:t>
      </w:r>
      <w:r>
        <w:t>ли</w:t>
      </w:r>
      <w:r w:rsidRPr="009D08E1">
        <w:t xml:space="preserve"> инфузи</w:t>
      </w:r>
      <w:r>
        <w:t>ю</w:t>
      </w:r>
      <w:r w:rsidRPr="009D08E1">
        <w:t xml:space="preserve"> пропофола</w:t>
      </w:r>
      <w:r>
        <w:t xml:space="preserve"> и ингаляцию севорана</w:t>
      </w:r>
      <w:r w:rsidRPr="009D08E1">
        <w:t>, у животного периодически проверя</w:t>
      </w:r>
      <w:r>
        <w:t>ли</w:t>
      </w:r>
      <w:r w:rsidRPr="009D08E1">
        <w:t xml:space="preserve"> появление периферических рефлексов и </w:t>
      </w:r>
      <w:r w:rsidRPr="009D08E1">
        <w:lastRenderedPageBreak/>
        <w:t xml:space="preserve">спонтанного дыхания. При появлении </w:t>
      </w:r>
      <w:r>
        <w:t xml:space="preserve">собственного </w:t>
      </w:r>
      <w:r w:rsidRPr="009D08E1">
        <w:t xml:space="preserve">дыхания </w:t>
      </w:r>
      <w:r>
        <w:t xml:space="preserve">наркозно-дыхательный </w:t>
      </w:r>
      <w:r w:rsidRPr="009D08E1">
        <w:t>аппарат переводи</w:t>
      </w:r>
      <w:r>
        <w:t>ли</w:t>
      </w:r>
      <w:r w:rsidRPr="009D08E1">
        <w:t xml:space="preserve"> в режим поддерживающей вентиляции. После восстановления собственного дыхания экспериментальному животному убира</w:t>
      </w:r>
      <w:r>
        <w:t>ли</w:t>
      </w:r>
      <w:r w:rsidRPr="009D08E1">
        <w:t xml:space="preserve"> эндотрахеальную трубку и перемеща</w:t>
      </w:r>
      <w:r>
        <w:t>ли</w:t>
      </w:r>
      <w:r w:rsidRPr="009D08E1">
        <w:t xml:space="preserve"> в вольер.</w:t>
      </w:r>
    </w:p>
    <w:p w:rsidR="00057EB9" w:rsidRDefault="00057EB9" w:rsidP="00057EB9">
      <w:pPr>
        <w:ind w:firstLine="708"/>
      </w:pPr>
      <w:r>
        <w:t xml:space="preserve">В послеоперационный период проводили антитромбоцитарную и антикоагулянтную терапии по схеме: клопидогрель 75 мг/сутки, ацетилсалицилловая кислота 100 мг/сутки. </w:t>
      </w:r>
    </w:p>
    <w:p w:rsidR="00057EB9" w:rsidRPr="000A5BC1" w:rsidRDefault="00057EB9" w:rsidP="00057EB9">
      <w:pPr>
        <w:ind w:firstLine="708"/>
      </w:pPr>
      <w:r>
        <w:t xml:space="preserve">Визуальный </w:t>
      </w:r>
      <w:proofErr w:type="gramStart"/>
      <w:r>
        <w:t>контроль за</w:t>
      </w:r>
      <w:proofErr w:type="gramEnd"/>
      <w:r>
        <w:t xml:space="preserve"> животными проводили каждый день во время кормления.</w:t>
      </w:r>
      <w:r w:rsidRPr="000A5BC1">
        <w:rPr>
          <w:sz w:val="24"/>
          <w:szCs w:val="24"/>
        </w:rPr>
        <w:t xml:space="preserve"> </w:t>
      </w:r>
      <w:r>
        <w:t>При этом проводили о</w:t>
      </w:r>
      <w:r w:rsidRPr="000A5BC1">
        <w:t>ценку наличия интраоперационной ишемии конечностей и эмболизации путем сравнительной пальпации периферических артерий на контрлатеральных конечностях. Ишемию головного мозга и спинномозговые нарушения диагностировали по нарушениям координации движений и изменению специфических рефлексов в ходе послеоперационного наблюдения.</w:t>
      </w:r>
    </w:p>
    <w:p w:rsidR="00057EB9" w:rsidRDefault="00057EB9" w:rsidP="00057EB9">
      <w:pPr>
        <w:rPr>
          <w:rFonts w:cs="Times New Roman"/>
          <w:szCs w:val="28"/>
        </w:rPr>
      </w:pPr>
    </w:p>
    <w:p w:rsidR="00057EB9" w:rsidRPr="000A5BC1" w:rsidRDefault="00057EB9" w:rsidP="00057EB9">
      <w:pPr>
        <w:jc w:val="center"/>
        <w:rPr>
          <w:rFonts w:cs="Times New Roman"/>
          <w:b/>
          <w:szCs w:val="28"/>
        </w:rPr>
      </w:pPr>
      <w:r w:rsidRPr="000A5BC1">
        <w:rPr>
          <w:rFonts w:cs="Times New Roman"/>
          <w:b/>
          <w:szCs w:val="28"/>
        </w:rPr>
        <w:t>2.3.7 Методы оценки реакции на имплантацию клапана</w:t>
      </w:r>
    </w:p>
    <w:p w:rsidR="00057EB9" w:rsidRPr="004C752B" w:rsidRDefault="00057EB9" w:rsidP="00057EB9">
      <w:pPr>
        <w:ind w:firstLine="708"/>
        <w:rPr>
          <w:rFonts w:cs="Times New Roman"/>
          <w:szCs w:val="28"/>
        </w:rPr>
      </w:pPr>
      <w:r>
        <w:rPr>
          <w:rFonts w:cs="Times New Roman"/>
          <w:szCs w:val="28"/>
        </w:rPr>
        <w:t xml:space="preserve">С целью оценки реакции организма экспериментального животного на </w:t>
      </w:r>
      <w:r w:rsidRPr="004C752B">
        <w:rPr>
          <w:rFonts w:cs="Times New Roman"/>
          <w:szCs w:val="28"/>
        </w:rPr>
        <w:t>имплантаци</w:t>
      </w:r>
      <w:r>
        <w:rPr>
          <w:rFonts w:cs="Times New Roman"/>
          <w:szCs w:val="28"/>
        </w:rPr>
        <w:t xml:space="preserve">ю клапана проводилась оценка </w:t>
      </w:r>
      <w:r w:rsidRPr="004C752B">
        <w:rPr>
          <w:rFonts w:cs="Times New Roman"/>
          <w:szCs w:val="28"/>
        </w:rPr>
        <w:t xml:space="preserve">системы гемостаза и коагуляции, цитологические, иммунологические, биохимические, патоморфологические и гистологические исследования на эксплантированных клапанах, а также </w:t>
      </w:r>
      <w:r>
        <w:rPr>
          <w:rFonts w:cs="Times New Roman"/>
          <w:szCs w:val="28"/>
        </w:rPr>
        <w:t xml:space="preserve">оценка </w:t>
      </w:r>
      <w:r w:rsidRPr="004C752B">
        <w:rPr>
          <w:rFonts w:cs="Times New Roman"/>
          <w:szCs w:val="28"/>
        </w:rPr>
        <w:t>соответстви</w:t>
      </w:r>
      <w:r>
        <w:rPr>
          <w:rFonts w:cs="Times New Roman"/>
          <w:szCs w:val="28"/>
        </w:rPr>
        <w:t>я</w:t>
      </w:r>
      <w:r w:rsidRPr="004C752B">
        <w:rPr>
          <w:rFonts w:cs="Times New Roman"/>
          <w:szCs w:val="28"/>
        </w:rPr>
        <w:t xml:space="preserve"> клапанов своему назначению, установленному производителем.</w:t>
      </w:r>
    </w:p>
    <w:p w:rsidR="00057EB9" w:rsidRDefault="00057EB9" w:rsidP="00057EB9">
      <w:pPr>
        <w:ind w:firstLine="708"/>
      </w:pPr>
      <w:r w:rsidRPr="00857A60">
        <w:rPr>
          <w:rFonts w:cs="Times New Roman"/>
          <w:b/>
          <w:i/>
          <w:szCs w:val="28"/>
        </w:rPr>
        <w:t>Оценка системы гемостаза</w:t>
      </w:r>
      <w:r w:rsidRPr="00857A60">
        <w:rPr>
          <w:rFonts w:cs="Times New Roman"/>
          <w:szCs w:val="28"/>
        </w:rPr>
        <w:t xml:space="preserve"> </w:t>
      </w:r>
      <w:r>
        <w:rPr>
          <w:rFonts w:cs="Times New Roman"/>
          <w:szCs w:val="28"/>
        </w:rPr>
        <w:t xml:space="preserve">производилась </w:t>
      </w:r>
      <w:r w:rsidRPr="00857A60">
        <w:t>в послеоперационном периоде на 1 и 14 день, через 1, 3 и 6 месяцев после имплантации и включала основные показатели:  ЧТВ, ПТВ, ТВ, фибриноген, ПДФ, МНО</w:t>
      </w:r>
      <w:r>
        <w:t>. Кроме того,  определялись с</w:t>
      </w:r>
      <w:r w:rsidRPr="00857A60">
        <w:t>пецифические показатели (D</w:t>
      </w:r>
      <w:r w:rsidRPr="00857A60">
        <w:noBreakHyphen/>
        <w:t>димер, фактор Виллебранда, P-селектин).</w:t>
      </w:r>
      <w:r>
        <w:t xml:space="preserve"> </w:t>
      </w:r>
    </w:p>
    <w:p w:rsidR="00057EB9" w:rsidRPr="002D18F2" w:rsidRDefault="00057EB9" w:rsidP="00057EB9">
      <w:pPr>
        <w:ind w:firstLine="708"/>
      </w:pPr>
      <w:r>
        <w:t>Для этого в</w:t>
      </w:r>
      <w:r w:rsidRPr="002D18F2">
        <w:t xml:space="preserve"> пробирку типа Vacutainer для исследовани</w:t>
      </w:r>
      <w:r>
        <w:t>я коагуляции (с цитратом натрия</w:t>
      </w:r>
      <w:r w:rsidRPr="002D18F2">
        <w:t>), используя систему для стерильного забора периферической крови, из краевой вены уха получа</w:t>
      </w:r>
      <w:r>
        <w:t>ли</w:t>
      </w:r>
      <w:r w:rsidRPr="002D18F2">
        <w:t xml:space="preserve"> 9 мл крови, тщательно </w:t>
      </w:r>
      <w:r w:rsidRPr="002D18F2">
        <w:lastRenderedPageBreak/>
        <w:t>перемешива</w:t>
      </w:r>
      <w:r>
        <w:t>ли</w:t>
      </w:r>
      <w:r w:rsidRPr="002D18F2">
        <w:t xml:space="preserve"> 5-6 </w:t>
      </w:r>
      <w:proofErr w:type="gramStart"/>
      <w:r w:rsidRPr="002D18F2">
        <w:t>раз</w:t>
      </w:r>
      <w:proofErr w:type="gramEnd"/>
      <w:r w:rsidRPr="002D18F2">
        <w:t xml:space="preserve"> медленно переворачивая пробирку. Для получения плазмы крови, бедной тромбоцитами, образец крови дважды центрифугир</w:t>
      </w:r>
      <w:r>
        <w:t>овали</w:t>
      </w:r>
      <w:r w:rsidRPr="002D18F2">
        <w:t xml:space="preserve"> 15 минут при ускорении 1200-2000</w:t>
      </w:r>
      <w:r w:rsidRPr="00F4727A">
        <w:t xml:space="preserve"> </w:t>
      </w:r>
      <w:r w:rsidRPr="002D18F2">
        <w:t>g в охлаждаемой центрифуге 5810R (Eppendorf, Германия) при 4</w:t>
      </w:r>
      <w:r w:rsidRPr="00F4727A">
        <w:t xml:space="preserve"> </w:t>
      </w:r>
      <w:r>
        <w:t>°C</w:t>
      </w:r>
      <w:r w:rsidRPr="002D18F2">
        <w:t>. Затем плазм</w:t>
      </w:r>
      <w:r>
        <w:t>у</w:t>
      </w:r>
      <w:r w:rsidRPr="002D18F2">
        <w:t xml:space="preserve"> крови отбира</w:t>
      </w:r>
      <w:r>
        <w:t>ли</w:t>
      </w:r>
      <w:r w:rsidRPr="002D18F2">
        <w:t xml:space="preserve"> в новую пробирку и использ</w:t>
      </w:r>
      <w:r>
        <w:t>овали</w:t>
      </w:r>
      <w:r w:rsidRPr="002D18F2">
        <w:t xml:space="preserve"> для дальнейших исследований. При обнаружении признаков гемолиза по изменению цвета плазмы с бледно-желтого и желтого на розовый или красный, повтор</w:t>
      </w:r>
      <w:r>
        <w:t>яли</w:t>
      </w:r>
      <w:r w:rsidRPr="002D18F2">
        <w:t xml:space="preserve"> процедуру забора и пробоподготовки.</w:t>
      </w:r>
    </w:p>
    <w:p w:rsidR="00057EB9" w:rsidRDefault="00057EB9" w:rsidP="00057EB9">
      <w:pPr>
        <w:ind w:firstLine="708"/>
      </w:pPr>
      <w:r w:rsidRPr="002D18F2">
        <w:t>Определение частичного тромбопластинового времени (ЧТВ), протромбинового времени (П</w:t>
      </w:r>
      <w:r>
        <w:t>Т</w:t>
      </w:r>
      <w:r w:rsidRPr="002D18F2">
        <w:t xml:space="preserve">В), тромбинового времени (ТВ) и содержание фибриногена </w:t>
      </w:r>
      <w:r>
        <w:t>производили</w:t>
      </w:r>
      <w:r w:rsidRPr="002D18F2">
        <w:t xml:space="preserve"> с помощью системы автоматизированного анализа свертывающей способности крови CS-2100i (Sysmex, Германия) согласно рекомендациям производителя. </w:t>
      </w:r>
    </w:p>
    <w:p w:rsidR="00057EB9" w:rsidRDefault="00057EB9" w:rsidP="00057EB9">
      <w:pPr>
        <w:ind w:firstLine="708"/>
      </w:pPr>
      <w:r w:rsidRPr="002D18F2">
        <w:t>Определение международного нормализованного отношения (МНО) производи</w:t>
      </w:r>
      <w:r>
        <w:t>ли</w:t>
      </w:r>
      <w:r w:rsidRPr="002D18F2">
        <w:t xml:space="preserve"> с помощью системы CoaguChek (Roche Diagnostic, США) согласно рекомендациям производителя. </w:t>
      </w:r>
    </w:p>
    <w:p w:rsidR="00057EB9" w:rsidRDefault="00057EB9" w:rsidP="00057EB9">
      <w:pPr>
        <w:ind w:firstLine="708"/>
      </w:pPr>
      <w:r w:rsidRPr="002D18F2">
        <w:t>Продукты деградации фибрина (ПДФ) определя</w:t>
      </w:r>
      <w:r>
        <w:t>ли</w:t>
      </w:r>
      <w:r w:rsidRPr="002D18F2">
        <w:t xml:space="preserve"> </w:t>
      </w:r>
      <w:proofErr w:type="gramStart"/>
      <w:r w:rsidRPr="002D18F2">
        <w:t>латекс-тестом</w:t>
      </w:r>
      <w:proofErr w:type="gramEnd"/>
      <w:r w:rsidRPr="002D18F2">
        <w:t xml:space="preserve"> с помощью набора реагентов FDP-test (Roche Diagnostic, Германия) согласно рекомендациям производителя. </w:t>
      </w:r>
    </w:p>
    <w:p w:rsidR="00057EB9" w:rsidRDefault="00057EB9" w:rsidP="00057EB9">
      <w:pPr>
        <w:ind w:firstLine="708"/>
      </w:pPr>
      <w:r w:rsidRPr="002D18F2">
        <w:t>Для определения динамики изменения ЧТВ, П</w:t>
      </w:r>
      <w:r>
        <w:t>Т</w:t>
      </w:r>
      <w:r w:rsidRPr="002D18F2">
        <w:t>В, ТВ, фибриногена, ПДФ и МНО, в качестве контрольных значений использ</w:t>
      </w:r>
      <w:r>
        <w:t>овали</w:t>
      </w:r>
      <w:r w:rsidRPr="002D18F2">
        <w:t xml:space="preserve"> данные, полученные у этого же экспериментального животного до начала эксперимента. </w:t>
      </w:r>
    </w:p>
    <w:p w:rsidR="00057EB9" w:rsidRDefault="00057EB9" w:rsidP="00057EB9">
      <w:r>
        <w:tab/>
      </w:r>
      <w:r w:rsidRPr="002D18F2">
        <w:t xml:space="preserve">Фактор Виллебранда и </w:t>
      </w:r>
      <w:r>
        <w:rPr>
          <w:lang w:val="en-US"/>
        </w:rPr>
        <w:t>D</w:t>
      </w:r>
      <w:r w:rsidRPr="002D18F2">
        <w:t>-димер определя</w:t>
      </w:r>
      <w:r>
        <w:t>ли</w:t>
      </w:r>
      <w:r w:rsidRPr="002D18F2">
        <w:t xml:space="preserve"> с помощью системы автоматизированного анализа свертывающей способности крови CS-2100i (Sysmex, Германия) согласно рекомендациям производителя. Для определения </w:t>
      </w:r>
      <w:r>
        <w:rPr>
          <w:lang w:val="en-US"/>
        </w:rPr>
        <w:t>P</w:t>
      </w:r>
      <w:r w:rsidRPr="002D18F2">
        <w:t>-селектина использ</w:t>
      </w:r>
      <w:r>
        <w:t>овали</w:t>
      </w:r>
      <w:r w:rsidRPr="002D18F2">
        <w:t xml:space="preserve"> набор </w:t>
      </w:r>
      <w:r>
        <w:t xml:space="preserve">для </w:t>
      </w:r>
      <w:r w:rsidRPr="002D18F2">
        <w:t xml:space="preserve">иммуноферментного анализа sP-selectin (Bender MedSystems GmbH, Австрия) согласно рекомендациям производителя. Для определения динамики изменения концентрации фактора Виллебранда, </w:t>
      </w:r>
      <w:r>
        <w:rPr>
          <w:lang w:val="en-US"/>
        </w:rPr>
        <w:t>D</w:t>
      </w:r>
      <w:r w:rsidRPr="002D18F2">
        <w:t xml:space="preserve">-димера и </w:t>
      </w:r>
      <w:r>
        <w:rPr>
          <w:lang w:val="en-US"/>
        </w:rPr>
        <w:t>P</w:t>
      </w:r>
      <w:r w:rsidRPr="002D18F2">
        <w:t xml:space="preserve">-селектина, в качестве </w:t>
      </w:r>
      <w:r w:rsidRPr="002D18F2">
        <w:lastRenderedPageBreak/>
        <w:t>контрольных значений использ</w:t>
      </w:r>
      <w:r>
        <w:t>овали</w:t>
      </w:r>
      <w:r w:rsidRPr="002D18F2">
        <w:t xml:space="preserve"> данные, полученные у этого же экспериментального животного до начала эксперимента. </w:t>
      </w:r>
    </w:p>
    <w:p w:rsidR="00057EB9" w:rsidRDefault="00057EB9" w:rsidP="00057EB9">
      <w:pPr>
        <w:ind w:firstLine="708"/>
        <w:rPr>
          <w:b/>
          <w:i/>
        </w:rPr>
      </w:pPr>
      <w:r w:rsidRPr="00857A60">
        <w:rPr>
          <w:b/>
          <w:i/>
        </w:rPr>
        <w:t>Оценка системы тромбоцитов</w:t>
      </w:r>
      <w:r>
        <w:rPr>
          <w:b/>
          <w:i/>
        </w:rPr>
        <w:t xml:space="preserve">. </w:t>
      </w:r>
    </w:p>
    <w:p w:rsidR="00057EB9" w:rsidRDefault="00057EB9" w:rsidP="00057EB9">
      <w:pPr>
        <w:ind w:firstLine="708"/>
      </w:pPr>
      <w:r w:rsidRPr="00857A60">
        <w:t>Подсчет количе</w:t>
      </w:r>
      <w:r>
        <w:t>с</w:t>
      </w:r>
      <w:r w:rsidRPr="00857A60">
        <w:t>тва тромбоцитов</w:t>
      </w:r>
      <w:r>
        <w:rPr>
          <w:b/>
          <w:i/>
        </w:rPr>
        <w:t xml:space="preserve"> </w:t>
      </w:r>
      <w:r w:rsidRPr="002D18F2">
        <w:t>выполня</w:t>
      </w:r>
      <w:r>
        <w:t>ли</w:t>
      </w:r>
      <w:r w:rsidRPr="002D18F2">
        <w:t xml:space="preserve"> в послеоперационном периоде </w:t>
      </w:r>
      <w:r>
        <w:t>на 1 и 14 день, через 1,</w:t>
      </w:r>
      <w:r w:rsidRPr="002D18F2">
        <w:t xml:space="preserve"> </w:t>
      </w:r>
      <w:r>
        <w:t xml:space="preserve">3 и </w:t>
      </w:r>
      <w:r w:rsidRPr="002D18F2">
        <w:t>6 месяц</w:t>
      </w:r>
      <w:r>
        <w:t>ев после имплантации клапана</w:t>
      </w:r>
      <w:r w:rsidRPr="002D18F2">
        <w:t xml:space="preserve">. </w:t>
      </w:r>
      <w:r>
        <w:t>Для этого</w:t>
      </w:r>
      <w:r w:rsidRPr="002D18F2">
        <w:t xml:space="preserve"> </w:t>
      </w:r>
      <w:r>
        <w:t>в</w:t>
      </w:r>
      <w:r w:rsidRPr="002D18F2">
        <w:t xml:space="preserve"> пробирку типа Vacutainer для общего анализа крови (с </w:t>
      </w:r>
      <w:r>
        <w:t>три</w:t>
      </w:r>
      <w:r w:rsidRPr="002D18F2">
        <w:t>калиевой солью этилендиам</w:t>
      </w:r>
      <w:r>
        <w:t>интетрауксусной кислоты</w:t>
      </w:r>
      <w:r w:rsidRPr="002D18F2">
        <w:t>), используя систему для стерильного забора перифериче</w:t>
      </w:r>
      <w:r>
        <w:t>ской крови, из краевой вены уха</w:t>
      </w:r>
      <w:r w:rsidRPr="002D18F2">
        <w:t xml:space="preserve"> получа</w:t>
      </w:r>
      <w:r>
        <w:t>ли</w:t>
      </w:r>
      <w:r w:rsidRPr="002D18F2">
        <w:t xml:space="preserve"> 9</w:t>
      </w:r>
      <w:r>
        <w:rPr>
          <w:lang w:val="en-US"/>
        </w:rPr>
        <w:t> </w:t>
      </w:r>
      <w:r w:rsidRPr="002D18F2">
        <w:t>мл крови, тщательно ее перемешива</w:t>
      </w:r>
      <w:r>
        <w:t>ли</w:t>
      </w:r>
      <w:r w:rsidRPr="002D18F2">
        <w:t>, 5-6 раз медленно переворачивая пробирку. Подсчет тромбоцитов осуществля</w:t>
      </w:r>
      <w:r>
        <w:t>ли</w:t>
      </w:r>
      <w:r w:rsidRPr="002D18F2">
        <w:t xml:space="preserve"> с помощью автоматического гематологического анализатора XT-4000i (Sysmex, Германия) согласно рекомендациям производителя. </w:t>
      </w:r>
    </w:p>
    <w:p w:rsidR="00057EB9" w:rsidRPr="002D18F2" w:rsidRDefault="00057EB9" w:rsidP="00057EB9">
      <w:pPr>
        <w:ind w:firstLine="708"/>
      </w:pPr>
      <w:r w:rsidRPr="002D18F2">
        <w:t>В случае получения заниженных показателей количества тромбоцитов производи</w:t>
      </w:r>
      <w:r>
        <w:t>ли</w:t>
      </w:r>
      <w:r w:rsidRPr="002D18F2">
        <w:t xml:space="preserve"> визуальный повторный подсчет числа тромбоцитов с помощью камеры Горяева и микроскопа Axioskop 40FL при увеличении х200. Для этого в предварительно подготовленную камеру Горяева внос</w:t>
      </w:r>
      <w:r>
        <w:t>или</w:t>
      </w:r>
      <w:r w:rsidRPr="002D18F2">
        <w:t xml:space="preserve"> разведенный образец крови и подсчитыва</w:t>
      </w:r>
      <w:r>
        <w:t>ли</w:t>
      </w:r>
      <w:r w:rsidRPr="002D18F2">
        <w:t xml:space="preserve"> число тромбоцитов в 10 областях наблюдения, ограниченных большими квадратами. Число тромбоцитов </w:t>
      </w:r>
      <w:r w:rsidRPr="009C1522">
        <w:rPr>
          <w:i/>
        </w:rPr>
        <w:t>Tr</w:t>
      </w:r>
      <w:r w:rsidRPr="002D18F2">
        <w:t xml:space="preserve"> в 1 микролитре вычисляют по формуле:</w:t>
      </w:r>
    </w:p>
    <w:p w:rsidR="00057EB9" w:rsidRPr="002D18F2" w:rsidRDefault="00057EB9" w:rsidP="00057EB9">
      <w:r w:rsidRPr="009C1522">
        <w:rPr>
          <w:i/>
        </w:rPr>
        <w:t>Tr = N</w:t>
      </w:r>
      <w:r>
        <w:rPr>
          <w:i/>
        </w:rPr>
        <w:t>×</w:t>
      </w:r>
      <w:r w:rsidRPr="009C1522">
        <w:rPr>
          <w:i/>
        </w:rPr>
        <w:t>2,5</w:t>
      </w:r>
      <w:r>
        <w:rPr>
          <w:i/>
        </w:rPr>
        <w:t>×</w:t>
      </w:r>
      <w:r w:rsidRPr="009C1522">
        <w:rPr>
          <w:i/>
        </w:rPr>
        <w:t>f</w:t>
      </w:r>
      <w:r w:rsidRPr="002D18F2">
        <w:t>,</w:t>
      </w:r>
    </w:p>
    <w:p w:rsidR="00057EB9" w:rsidRPr="002D18F2" w:rsidRDefault="00057EB9" w:rsidP="00057EB9">
      <w:r w:rsidRPr="002D18F2">
        <w:t xml:space="preserve">где </w:t>
      </w:r>
      <w:r w:rsidRPr="009C1522">
        <w:rPr>
          <w:i/>
        </w:rPr>
        <w:t>N</w:t>
      </w:r>
      <w:r w:rsidRPr="002D18F2">
        <w:t xml:space="preserve"> – общее число подсчитанных тромбоцитов</w:t>
      </w:r>
      <w:r w:rsidRPr="009C1522">
        <w:t>,</w:t>
      </w:r>
      <w:r w:rsidRPr="002D18F2">
        <w:t xml:space="preserve"> </w:t>
      </w:r>
      <w:r w:rsidRPr="009C1522">
        <w:rPr>
          <w:i/>
        </w:rPr>
        <w:t>f</w:t>
      </w:r>
      <w:r w:rsidRPr="002D18F2">
        <w:t xml:space="preserve"> </w:t>
      </w:r>
      <w:r>
        <w:t>–</w:t>
      </w:r>
      <w:r w:rsidRPr="002D18F2">
        <w:t xml:space="preserve"> фактор</w:t>
      </w:r>
      <w:r>
        <w:t xml:space="preserve"> </w:t>
      </w:r>
      <w:r w:rsidRPr="002D18F2">
        <w:t>разведения крови</w:t>
      </w:r>
      <w:r>
        <w:t>.</w:t>
      </w:r>
    </w:p>
    <w:p w:rsidR="00057EB9" w:rsidRDefault="00057EB9" w:rsidP="00057EB9">
      <w:pPr>
        <w:ind w:firstLine="708"/>
      </w:pPr>
      <w:r w:rsidRPr="002D18F2">
        <w:t>Для определения динамики изменения концентрации тромбоцитов, в качестве контрольных значений использ</w:t>
      </w:r>
      <w:r>
        <w:t>овали</w:t>
      </w:r>
      <w:r w:rsidRPr="002D18F2">
        <w:t xml:space="preserve"> данные, полученные у этого же экспериментального животного до начала эксперимента. </w:t>
      </w:r>
    </w:p>
    <w:p w:rsidR="00057EB9" w:rsidRPr="002D18F2" w:rsidRDefault="00057EB9" w:rsidP="00057EB9">
      <w:pPr>
        <w:ind w:firstLine="708"/>
      </w:pPr>
      <w:r>
        <w:t xml:space="preserve">Оценку агрегации тромбоцитов </w:t>
      </w:r>
      <w:r w:rsidRPr="002D18F2">
        <w:t>выполня</w:t>
      </w:r>
      <w:r>
        <w:t>ли</w:t>
      </w:r>
      <w:r w:rsidRPr="002D18F2">
        <w:t xml:space="preserve"> в послеоперационном периоде </w:t>
      </w:r>
      <w:r>
        <w:t>на 1 и 14 день, через 1,</w:t>
      </w:r>
      <w:r w:rsidRPr="002D18F2">
        <w:t xml:space="preserve"> </w:t>
      </w:r>
      <w:r>
        <w:t xml:space="preserve">3 и </w:t>
      </w:r>
      <w:r w:rsidRPr="002D18F2">
        <w:t>6 месяц</w:t>
      </w:r>
      <w:r>
        <w:t>е</w:t>
      </w:r>
      <w:r w:rsidRPr="002D18F2">
        <w:t xml:space="preserve"> </w:t>
      </w:r>
      <w:r>
        <w:t>после имплантации клапана</w:t>
      </w:r>
      <w:r w:rsidRPr="002D18F2">
        <w:t xml:space="preserve">. </w:t>
      </w:r>
      <w:r>
        <w:t>Для этого в</w:t>
      </w:r>
      <w:r w:rsidRPr="002D18F2">
        <w:t xml:space="preserve"> пробирку типа Vacutainer для исследовани</w:t>
      </w:r>
      <w:r>
        <w:t>я коагуляции (с цитратом натрия</w:t>
      </w:r>
      <w:r w:rsidRPr="002D18F2">
        <w:t>), используя систему для стерильного забора периферической крови, из краевой вены уха получа</w:t>
      </w:r>
      <w:r>
        <w:t>ли</w:t>
      </w:r>
      <w:r w:rsidRPr="002D18F2">
        <w:t xml:space="preserve"> 9 мл крови, тщательно ее перемешива</w:t>
      </w:r>
      <w:r>
        <w:t>ли</w:t>
      </w:r>
      <w:r w:rsidRPr="002D18F2">
        <w:t xml:space="preserve">, 5-6 </w:t>
      </w:r>
      <w:r w:rsidRPr="002D18F2">
        <w:lastRenderedPageBreak/>
        <w:t>раз медленно переворачивая пробирку. Для получения плазмы крови, обогащенной тромбоцитами, образец крови однократно центрифугир</w:t>
      </w:r>
      <w:r>
        <w:t>овали</w:t>
      </w:r>
      <w:r w:rsidRPr="002D18F2">
        <w:t xml:space="preserve"> 10 минут при ускорении 450-500 g в охлаждаемой центрифуге 5810R (Eppendorf, Германия) при 20 </w:t>
      </w:r>
      <w:r>
        <w:t>°C</w:t>
      </w:r>
      <w:r w:rsidRPr="002D18F2">
        <w:t>. Затем плазм</w:t>
      </w:r>
      <w:r>
        <w:t>у</w:t>
      </w:r>
      <w:r w:rsidRPr="002D18F2">
        <w:t xml:space="preserve"> крови отбира</w:t>
      </w:r>
      <w:r>
        <w:t>ли</w:t>
      </w:r>
      <w:r w:rsidRPr="002D18F2">
        <w:t xml:space="preserve"> в новую пробирку и использ</w:t>
      </w:r>
      <w:r>
        <w:t>овали</w:t>
      </w:r>
      <w:r w:rsidRPr="002D18F2">
        <w:t xml:space="preserve"> для дальнейших исследований. При обнаружении признаков гемолиза по изменению цвета плазмы с бледно-желтого и желтого на розовый или красный повтор</w:t>
      </w:r>
      <w:r>
        <w:t>яли</w:t>
      </w:r>
      <w:r w:rsidRPr="002D18F2">
        <w:t xml:space="preserve"> процедуру забора и пробоподготовки.</w:t>
      </w:r>
    </w:p>
    <w:p w:rsidR="00057EB9" w:rsidRDefault="00057EB9" w:rsidP="00057EB9">
      <w:pPr>
        <w:ind w:firstLine="708"/>
      </w:pPr>
      <w:r w:rsidRPr="002D18F2">
        <w:t>Для исследования агрегационных свой</w:t>
      </w:r>
      <w:proofErr w:type="gramStart"/>
      <w:r w:rsidRPr="002D18F2">
        <w:t>ств тр</w:t>
      </w:r>
      <w:proofErr w:type="gramEnd"/>
      <w:r w:rsidRPr="002D18F2">
        <w:t>омбоцитов использ</w:t>
      </w:r>
      <w:r>
        <w:t>овали</w:t>
      </w:r>
      <w:r w:rsidRPr="002D18F2">
        <w:t xml:space="preserve"> турбидиметрический метод, реализованный в автоматической системе </w:t>
      </w:r>
      <w:r>
        <w:t xml:space="preserve">для </w:t>
      </w:r>
      <w:r w:rsidRPr="002D18F2">
        <w:t>анализа тромбоцитов 560СА (Chrono-Log Corp., США), с использованием комплектов реагентов «Адреналин», «АДФ», «Коллаген», «Ристомицин» (</w:t>
      </w:r>
      <w:r>
        <w:t>«</w:t>
      </w:r>
      <w:r w:rsidRPr="002D18F2">
        <w:t>Технология-Стандарт</w:t>
      </w:r>
      <w:r>
        <w:t>»</w:t>
      </w:r>
      <w:r w:rsidRPr="002D18F2">
        <w:t>, Барнаул) согласн</w:t>
      </w:r>
      <w:r>
        <w:t>о рекомендациям производителей.</w:t>
      </w:r>
    </w:p>
    <w:p w:rsidR="00057EB9" w:rsidRPr="002D18F2" w:rsidRDefault="00057EB9" w:rsidP="00057EB9">
      <w:pPr>
        <w:ind w:firstLine="708"/>
      </w:pPr>
      <w:r w:rsidRPr="002D18F2">
        <w:t>Для определения динамики изменения агрегационных свой</w:t>
      </w:r>
      <w:proofErr w:type="gramStart"/>
      <w:r w:rsidRPr="002D18F2">
        <w:t>ств тр</w:t>
      </w:r>
      <w:proofErr w:type="gramEnd"/>
      <w:r w:rsidRPr="002D18F2">
        <w:t>омбоцитов, в качестве контрольных значений использ</w:t>
      </w:r>
      <w:r>
        <w:t>овали</w:t>
      </w:r>
      <w:r w:rsidRPr="002D18F2">
        <w:t xml:space="preserve"> данные, полученные у этого же экспериментального животного до начала эксперимента. </w:t>
      </w:r>
    </w:p>
    <w:p w:rsidR="00057EB9" w:rsidRPr="002D18F2" w:rsidRDefault="00057EB9" w:rsidP="00057EB9">
      <w:pPr>
        <w:ind w:firstLine="708"/>
      </w:pPr>
      <w:r w:rsidRPr="00857A60">
        <w:rPr>
          <w:b/>
          <w:i/>
        </w:rPr>
        <w:t>Общий анализ крови</w:t>
      </w:r>
      <w:r>
        <w:t xml:space="preserve"> с подсчетом формулы</w:t>
      </w:r>
      <w:r w:rsidRPr="00857A60">
        <w:t xml:space="preserve"> </w:t>
      </w:r>
      <w:r>
        <w:t xml:space="preserve">– </w:t>
      </w:r>
      <w:r w:rsidRPr="002D18F2">
        <w:t>выполня</w:t>
      </w:r>
      <w:r>
        <w:t>ли</w:t>
      </w:r>
      <w:r w:rsidRPr="002D18F2">
        <w:t xml:space="preserve"> в послеоперационном периоде </w:t>
      </w:r>
      <w:r>
        <w:t>на 1 и 14 день, через 1,</w:t>
      </w:r>
      <w:r w:rsidRPr="002D18F2">
        <w:t xml:space="preserve"> </w:t>
      </w:r>
      <w:r>
        <w:t xml:space="preserve">3 и </w:t>
      </w:r>
      <w:r w:rsidRPr="002D18F2">
        <w:t>6 месяц</w:t>
      </w:r>
      <w:r>
        <w:t>ев после имплантации клапана</w:t>
      </w:r>
      <w:r w:rsidRPr="002D18F2">
        <w:t xml:space="preserve">. </w:t>
      </w:r>
      <w:r>
        <w:t>Для этого в</w:t>
      </w:r>
      <w:r w:rsidRPr="002D18F2">
        <w:t xml:space="preserve"> пробирку типа Vacutainer для общего анализа крови (с </w:t>
      </w:r>
      <w:r>
        <w:t>три</w:t>
      </w:r>
      <w:r w:rsidRPr="002D18F2">
        <w:t>калиевой солью эт</w:t>
      </w:r>
      <w:r>
        <w:t>илендиаминтетрауксусной кислоты</w:t>
      </w:r>
      <w:r w:rsidRPr="002D18F2">
        <w:t>), используя систему для стерильного забора периферической крови, из краевой вены уха получа</w:t>
      </w:r>
      <w:r>
        <w:t>ли</w:t>
      </w:r>
      <w:r w:rsidRPr="002D18F2">
        <w:t xml:space="preserve"> 9</w:t>
      </w:r>
      <w:r>
        <w:rPr>
          <w:lang w:val="en-US"/>
        </w:rPr>
        <w:t> </w:t>
      </w:r>
      <w:r w:rsidRPr="002D18F2">
        <w:t>мл крови, тщательно ее перемешивают, 5-6 раз медленно переворачивая пробирку. Анализ крови осуществля</w:t>
      </w:r>
      <w:r>
        <w:t>ли</w:t>
      </w:r>
      <w:r w:rsidRPr="002D18F2">
        <w:t xml:space="preserve"> с помощью автоматического гематологического анализатора XT-4000i (Sysmex, Германия) согласно рекомендациям производителя. </w:t>
      </w:r>
    </w:p>
    <w:p w:rsidR="00057EB9" w:rsidRDefault="00057EB9" w:rsidP="00057EB9">
      <w:pPr>
        <w:ind w:firstLine="708"/>
      </w:pPr>
      <w:r w:rsidRPr="002D18F2">
        <w:t>В случае возникновения затруднений в интерпретации лейкограммы производи</w:t>
      </w:r>
      <w:r>
        <w:t>ли</w:t>
      </w:r>
      <w:r w:rsidRPr="002D18F2">
        <w:t xml:space="preserve"> визуальный дифференцированный подсчет числа лейкоцитов с помощью камеры Горяева и микроскопа Axioskop 40FL при увеличении х200. Для этого в предварительно подготовленную камеру Горяева внос</w:t>
      </w:r>
      <w:r>
        <w:t>или</w:t>
      </w:r>
      <w:r w:rsidRPr="002D18F2">
        <w:t xml:space="preserve"> разведенный образец крови, подсчитыва</w:t>
      </w:r>
      <w:r>
        <w:t>ли</w:t>
      </w:r>
      <w:r w:rsidRPr="002D18F2">
        <w:t xml:space="preserve"> число и </w:t>
      </w:r>
      <w:r>
        <w:t xml:space="preserve">определяли </w:t>
      </w:r>
      <w:r w:rsidRPr="002D18F2">
        <w:t xml:space="preserve">морфологию </w:t>
      </w:r>
      <w:r w:rsidRPr="002D18F2">
        <w:lastRenderedPageBreak/>
        <w:t>ядерных клеток в 10 областях наблюдения, ограниченных большими квадратами. Число клеток каждого типа (лимфоциты, гранулоциты, нейтрофилы, макрофаги) вычисля</w:t>
      </w:r>
      <w:r>
        <w:t>ли</w:t>
      </w:r>
      <w:r w:rsidRPr="002D18F2">
        <w:t xml:space="preserve"> по методу, приведенному в пункте </w:t>
      </w:r>
      <w:r>
        <w:t>18.2.</w:t>
      </w:r>
      <w:r w:rsidRPr="002D18F2">
        <w:t>2</w:t>
      </w:r>
      <w:r>
        <w:t>0</w:t>
      </w:r>
      <w:r w:rsidRPr="002D18F2">
        <w:t xml:space="preserve">. </w:t>
      </w:r>
    </w:p>
    <w:p w:rsidR="00057EB9" w:rsidRPr="002D18F2" w:rsidRDefault="00057EB9" w:rsidP="00057EB9">
      <w:pPr>
        <w:ind w:firstLine="708"/>
      </w:pPr>
      <w:r w:rsidRPr="002D18F2">
        <w:t>Для определения динамики показателей общего анализа крови, в качестве контрольных значений использ</w:t>
      </w:r>
      <w:r>
        <w:t>овали</w:t>
      </w:r>
      <w:r w:rsidRPr="002D18F2">
        <w:t xml:space="preserve"> данные, полученные у этого же экспериментального животного до начала эксперимента. </w:t>
      </w:r>
    </w:p>
    <w:p w:rsidR="00057EB9" w:rsidRDefault="00057EB9" w:rsidP="00057EB9">
      <w:pPr>
        <w:ind w:firstLine="708"/>
      </w:pPr>
      <w:r>
        <w:rPr>
          <w:b/>
          <w:i/>
        </w:rPr>
        <w:t xml:space="preserve">Оценка </w:t>
      </w:r>
      <w:r w:rsidRPr="00857A60">
        <w:rPr>
          <w:b/>
          <w:i/>
        </w:rPr>
        <w:t>гемолиза</w:t>
      </w:r>
      <w:r w:rsidRPr="00630343">
        <w:t xml:space="preserve"> (определение свободного гемоглобина в плазме)</w:t>
      </w:r>
      <w:r>
        <w:t xml:space="preserve"> – </w:t>
      </w:r>
      <w:r w:rsidRPr="002D18F2">
        <w:t>выполня</w:t>
      </w:r>
      <w:r>
        <w:t>лась</w:t>
      </w:r>
      <w:r w:rsidRPr="002D18F2">
        <w:t xml:space="preserve"> в послеоперационном периоде </w:t>
      </w:r>
      <w:r>
        <w:t>на 1 и 14 день, через 1,</w:t>
      </w:r>
      <w:r w:rsidRPr="002D18F2">
        <w:t xml:space="preserve"> </w:t>
      </w:r>
      <w:r>
        <w:t xml:space="preserve">3 и </w:t>
      </w:r>
      <w:r w:rsidRPr="002D18F2">
        <w:t>6 месяц</w:t>
      </w:r>
      <w:r>
        <w:t>ев</w:t>
      </w:r>
      <w:r w:rsidRPr="002D18F2">
        <w:t xml:space="preserve"> </w:t>
      </w:r>
      <w:r>
        <w:t>после имплантации клапана</w:t>
      </w:r>
      <w:r w:rsidRPr="002D18F2">
        <w:t>. Анализ образца плазмы крови на содержание свободного гемоглобина производи</w:t>
      </w:r>
      <w:r>
        <w:t>ли</w:t>
      </w:r>
      <w:r w:rsidRPr="002D18F2">
        <w:t xml:space="preserve"> гемихромным методом с помощью набора реагентов «</w:t>
      </w:r>
      <w:proofErr w:type="gramStart"/>
      <w:r w:rsidRPr="002D18F2">
        <w:t>Гемоглобин-Ново</w:t>
      </w:r>
      <w:proofErr w:type="gramEnd"/>
      <w:r w:rsidRPr="002D18F2">
        <w:t xml:space="preserve">» (ЗАО «Вектор-Бест», Новосибирск) согласно рекомендациям производителя. </w:t>
      </w:r>
    </w:p>
    <w:p w:rsidR="00057EB9" w:rsidRPr="00857A60" w:rsidRDefault="00057EB9" w:rsidP="00057EB9">
      <w:pPr>
        <w:ind w:firstLine="708"/>
        <w:rPr>
          <w:b/>
          <w:i/>
        </w:rPr>
      </w:pPr>
      <w:r w:rsidRPr="002D18F2">
        <w:t>Для определения динамики изменения свободного гемоглобина, в качестве контрольных значений использ</w:t>
      </w:r>
      <w:r>
        <w:t>овали</w:t>
      </w:r>
      <w:r w:rsidRPr="002D18F2">
        <w:t xml:space="preserve"> данные, полученные у этого же экспериментального животного до начала эксперимента. </w:t>
      </w:r>
    </w:p>
    <w:p w:rsidR="00057EB9" w:rsidRDefault="00057EB9" w:rsidP="00057EB9">
      <w:pPr>
        <w:ind w:firstLine="708"/>
      </w:pPr>
      <w:r w:rsidRPr="008503E9">
        <w:rPr>
          <w:b/>
          <w:i/>
        </w:rPr>
        <w:t>Биохимический анализ крови</w:t>
      </w:r>
      <w:r w:rsidRPr="008503E9">
        <w:t xml:space="preserve"> </w:t>
      </w:r>
      <w:r w:rsidRPr="002D18F2">
        <w:t>выполня</w:t>
      </w:r>
      <w:r>
        <w:t>ли</w:t>
      </w:r>
      <w:r w:rsidRPr="002D18F2">
        <w:t xml:space="preserve"> в послеоперационном периоде </w:t>
      </w:r>
      <w:r>
        <w:t>на 1 и 14 день, через 1,</w:t>
      </w:r>
      <w:r w:rsidRPr="002D18F2">
        <w:t xml:space="preserve"> </w:t>
      </w:r>
      <w:r>
        <w:t xml:space="preserve">3 и </w:t>
      </w:r>
      <w:r w:rsidRPr="002D18F2">
        <w:t>6 месяц</w:t>
      </w:r>
      <w:r>
        <w:t>ев</w:t>
      </w:r>
      <w:r w:rsidRPr="002D18F2">
        <w:t xml:space="preserve"> </w:t>
      </w:r>
      <w:r>
        <w:t>после имплантации клапана</w:t>
      </w:r>
      <w:r w:rsidRPr="002D18F2">
        <w:t>. В пробирку типа Vacutainer с активатором свертывания крови, используя систему для стерильного забора периферической крови, из краевой вены уха получа</w:t>
      </w:r>
      <w:r>
        <w:t>ли</w:t>
      </w:r>
      <w:r w:rsidRPr="002D18F2">
        <w:t xml:space="preserve"> 9 мл крови, тщательно ее перемешива</w:t>
      </w:r>
      <w:r>
        <w:t>ли</w:t>
      </w:r>
      <w:r w:rsidRPr="002D18F2">
        <w:t xml:space="preserve">, 5-6 раз медленно переворачивая пробирку. Для получения сыворотки образец крови </w:t>
      </w:r>
      <w:r>
        <w:t xml:space="preserve">далее </w:t>
      </w:r>
      <w:r w:rsidRPr="002D18F2">
        <w:t>отстаива</w:t>
      </w:r>
      <w:r>
        <w:t>ли</w:t>
      </w:r>
      <w:r w:rsidRPr="002D18F2">
        <w:t xml:space="preserve"> в течение 20 минут при комнатной температуре, затем однократно центрифугир</w:t>
      </w:r>
      <w:r>
        <w:t>овали</w:t>
      </w:r>
      <w:r w:rsidRPr="002D18F2">
        <w:t xml:space="preserve"> 30 минут при ускорении 450-500 g в охлаждаемой центрифуге 5810R (Eppendorf, Германия) при 4 </w:t>
      </w:r>
      <w:r>
        <w:t>°C</w:t>
      </w:r>
      <w:r w:rsidRPr="002D18F2">
        <w:t>. Сыворотк</w:t>
      </w:r>
      <w:r>
        <w:t>у</w:t>
      </w:r>
      <w:r w:rsidRPr="002D18F2">
        <w:t xml:space="preserve"> крови отбира</w:t>
      </w:r>
      <w:r>
        <w:t>ли</w:t>
      </w:r>
      <w:r w:rsidRPr="002D18F2">
        <w:t xml:space="preserve"> в новую пробирку и использ</w:t>
      </w:r>
      <w:r>
        <w:t>овали</w:t>
      </w:r>
      <w:r w:rsidRPr="002D18F2">
        <w:t xml:space="preserve"> для дальнейших исследований. При обнаружении признаков гемолиза по изменению цвета сыворотки с бледно-желтого и желтого на розовый или красный повтор</w:t>
      </w:r>
      <w:r>
        <w:t>яли</w:t>
      </w:r>
      <w:r w:rsidRPr="002D18F2">
        <w:t xml:space="preserve"> процедуру забора и пробоподготовки. </w:t>
      </w:r>
    </w:p>
    <w:p w:rsidR="00057EB9" w:rsidRPr="002D18F2" w:rsidRDefault="00057EB9" w:rsidP="00057EB9">
      <w:pPr>
        <w:ind w:firstLine="708"/>
      </w:pPr>
      <w:r w:rsidRPr="002D18F2">
        <w:lastRenderedPageBreak/>
        <w:t>Биохимический анализ крови выполня</w:t>
      </w:r>
      <w:r>
        <w:t>ли</w:t>
      </w:r>
      <w:r w:rsidRPr="002D18F2">
        <w:t xml:space="preserve"> в автоматическом режиме с помощью системы AU480 (BeckmanCoulter, США). </w:t>
      </w:r>
      <w:proofErr w:type="gramStart"/>
      <w:r w:rsidRPr="002D18F2">
        <w:t>Производи</w:t>
      </w:r>
      <w:r>
        <w:t>ли</w:t>
      </w:r>
      <w:r w:rsidRPr="002D18F2">
        <w:t xml:space="preserve"> определение следующих параметров: общий белок, альбумин, мочевина, креатинкиназа, общий билирубин, щелочная фосфатаза, ГГТ, АЛТ, АСТ, ионы Na, К, хлориды, СРБ, холестерин, глюкоза, мочевая кислота. </w:t>
      </w:r>
      <w:proofErr w:type="gramEnd"/>
    </w:p>
    <w:p w:rsidR="00057EB9" w:rsidRPr="008503E9" w:rsidRDefault="00057EB9" w:rsidP="00057EB9">
      <w:pPr>
        <w:ind w:firstLine="708"/>
        <w:rPr>
          <w:b/>
          <w:i/>
        </w:rPr>
      </w:pPr>
      <w:r w:rsidRPr="002D18F2">
        <w:t>Для определения динамики показателей биохимического анализа крови, в качестве контрольных значений использ</w:t>
      </w:r>
      <w:r>
        <w:t>овали</w:t>
      </w:r>
      <w:r w:rsidRPr="002D18F2">
        <w:t xml:space="preserve"> данные, полученные у этого же экспериментального животного до начала эксперимента.</w:t>
      </w:r>
    </w:p>
    <w:p w:rsidR="00057EB9" w:rsidRDefault="00057EB9" w:rsidP="00057EB9">
      <w:pPr>
        <w:ind w:firstLine="708"/>
      </w:pPr>
      <w:r w:rsidRPr="008503E9">
        <w:rPr>
          <w:b/>
          <w:i/>
        </w:rPr>
        <w:t>Подсчет ретикулоцитов</w:t>
      </w:r>
      <w:r>
        <w:rPr>
          <w:b/>
          <w:i/>
        </w:rPr>
        <w:t xml:space="preserve"> </w:t>
      </w:r>
      <w:r w:rsidRPr="002D18F2">
        <w:t>выполня</w:t>
      </w:r>
      <w:r>
        <w:t>ли</w:t>
      </w:r>
      <w:r w:rsidRPr="002D18F2">
        <w:t xml:space="preserve"> в послеоперационном периоде </w:t>
      </w:r>
      <w:r>
        <w:t>на 1 и 14 день, через 1,</w:t>
      </w:r>
      <w:r w:rsidRPr="002D18F2">
        <w:t xml:space="preserve"> </w:t>
      </w:r>
      <w:r>
        <w:t xml:space="preserve">3 и </w:t>
      </w:r>
      <w:r w:rsidRPr="002D18F2">
        <w:t>6 месяц</w:t>
      </w:r>
      <w:r>
        <w:t>ев</w:t>
      </w:r>
      <w:r w:rsidRPr="002D18F2">
        <w:t xml:space="preserve"> </w:t>
      </w:r>
      <w:r>
        <w:t>после имплантации клапана</w:t>
      </w:r>
      <w:r w:rsidRPr="002D18F2">
        <w:t xml:space="preserve">. </w:t>
      </w:r>
      <w:proofErr w:type="gramStart"/>
      <w:r w:rsidRPr="002D18F2">
        <w:t xml:space="preserve">В пробирку типа Vacutainer для общего анализа крови (с </w:t>
      </w:r>
      <w:r>
        <w:t>три</w:t>
      </w:r>
      <w:r w:rsidRPr="002D18F2">
        <w:t>калиевой солью эт</w:t>
      </w:r>
      <w:r>
        <w:t>илендиаминтетрауксусной кислоты</w:t>
      </w:r>
      <w:r w:rsidRPr="002D18F2">
        <w:t>), используя систему для стерильного забора периферической крови, из краевой вены уха (получа</w:t>
      </w:r>
      <w:r>
        <w:t>ли</w:t>
      </w:r>
      <w:r w:rsidRPr="002D18F2">
        <w:t xml:space="preserve"> 9</w:t>
      </w:r>
      <w:r>
        <w:t> </w:t>
      </w:r>
      <w:r w:rsidRPr="002D18F2">
        <w:t>мл крови, тщательно ее перемешива</w:t>
      </w:r>
      <w:r>
        <w:t>ли</w:t>
      </w:r>
      <w:r w:rsidRPr="002D18F2">
        <w:t>, 5-6 раз м</w:t>
      </w:r>
      <w:r>
        <w:t>едленно переворачивая пробирку.</w:t>
      </w:r>
      <w:proofErr w:type="gramEnd"/>
    </w:p>
    <w:p w:rsidR="00057EB9" w:rsidRPr="002D18F2" w:rsidRDefault="00057EB9" w:rsidP="00057EB9">
      <w:pPr>
        <w:ind w:firstLine="708"/>
      </w:pPr>
      <w:r w:rsidRPr="002D18F2">
        <w:t>Подсчет ретикулоцитов осуществля</w:t>
      </w:r>
      <w:r>
        <w:t>ли</w:t>
      </w:r>
      <w:r w:rsidRPr="002D18F2">
        <w:t xml:space="preserve"> с помощью камеры Горяева и микроскопа Axioskop 40FL при увеличении х200. Для этого в предварительно подготовленную камеру Горяева внос</w:t>
      </w:r>
      <w:r>
        <w:t>или</w:t>
      </w:r>
      <w:r w:rsidRPr="002D18F2">
        <w:t xml:space="preserve"> разведенный образец крови и подсчитыва</w:t>
      </w:r>
      <w:r>
        <w:t>ли</w:t>
      </w:r>
      <w:r w:rsidRPr="002D18F2">
        <w:t xml:space="preserve"> число ретикулоцитов в 10</w:t>
      </w:r>
      <w:r>
        <w:rPr>
          <w:lang w:val="en-US"/>
        </w:rPr>
        <w:t> </w:t>
      </w:r>
      <w:r w:rsidRPr="002D18F2">
        <w:t xml:space="preserve">областях наблюдения, ограниченных большими квадратами. Число ретикулоцитов </w:t>
      </w:r>
      <w:r w:rsidRPr="00C95E8D">
        <w:rPr>
          <w:i/>
        </w:rPr>
        <w:t>Ret</w:t>
      </w:r>
      <w:r w:rsidRPr="002D18F2">
        <w:t xml:space="preserve"> в 1</w:t>
      </w:r>
      <w:r>
        <w:rPr>
          <w:lang w:val="en-US"/>
        </w:rPr>
        <w:t> </w:t>
      </w:r>
      <w:r w:rsidRPr="002D18F2">
        <w:t>микролитре вычисля</w:t>
      </w:r>
      <w:r>
        <w:t>ли</w:t>
      </w:r>
      <w:r w:rsidRPr="002D18F2">
        <w:t xml:space="preserve"> по формуле:</w:t>
      </w:r>
    </w:p>
    <w:p w:rsidR="00057EB9" w:rsidRPr="002D18F2" w:rsidRDefault="00057EB9" w:rsidP="00057EB9">
      <w:r w:rsidRPr="00C95E8D">
        <w:rPr>
          <w:i/>
        </w:rPr>
        <w:t>Ret</w:t>
      </w:r>
      <w:r w:rsidRPr="002D18F2">
        <w:t xml:space="preserve"> = </w:t>
      </w:r>
      <w:r w:rsidRPr="00C95E8D">
        <w:rPr>
          <w:i/>
        </w:rPr>
        <w:t>N</w:t>
      </w:r>
      <w:r>
        <w:rPr>
          <w:i/>
        </w:rPr>
        <w:t>×</w:t>
      </w:r>
      <w:r w:rsidRPr="00C95E8D">
        <w:rPr>
          <w:i/>
        </w:rPr>
        <w:t>2,5</w:t>
      </w:r>
      <w:r>
        <w:rPr>
          <w:i/>
        </w:rPr>
        <w:t>×</w:t>
      </w:r>
      <w:r w:rsidRPr="00C95E8D">
        <w:rPr>
          <w:i/>
        </w:rPr>
        <w:t>f</w:t>
      </w:r>
      <w:r w:rsidRPr="002D18F2">
        <w:t>,</w:t>
      </w:r>
    </w:p>
    <w:p w:rsidR="00057EB9" w:rsidRPr="002D18F2" w:rsidRDefault="00057EB9" w:rsidP="00057EB9">
      <w:r w:rsidRPr="002D18F2">
        <w:t xml:space="preserve">где </w:t>
      </w:r>
      <w:r w:rsidRPr="00C95E8D">
        <w:rPr>
          <w:i/>
        </w:rPr>
        <w:t>N</w:t>
      </w:r>
      <w:r w:rsidRPr="002D18F2">
        <w:t xml:space="preserve"> – общее число </w:t>
      </w:r>
      <w:proofErr w:type="gramStart"/>
      <w:r w:rsidRPr="002D18F2">
        <w:t>подсчитанных</w:t>
      </w:r>
      <w:proofErr w:type="gramEnd"/>
      <w:r w:rsidRPr="002D18F2">
        <w:t xml:space="preserve"> ретикулоцитов</w:t>
      </w:r>
      <w:r w:rsidRPr="00C95E8D">
        <w:t>,</w:t>
      </w:r>
      <w:r w:rsidRPr="002D18F2">
        <w:t xml:space="preserve"> </w:t>
      </w:r>
      <w:r w:rsidRPr="00C95E8D">
        <w:rPr>
          <w:i/>
        </w:rPr>
        <w:t>f</w:t>
      </w:r>
      <w:r w:rsidRPr="002D18F2">
        <w:t xml:space="preserve"> </w:t>
      </w:r>
      <w:r>
        <w:t>–</w:t>
      </w:r>
      <w:r w:rsidRPr="002D18F2">
        <w:t xml:space="preserve"> фактор</w:t>
      </w:r>
      <w:r>
        <w:t xml:space="preserve"> </w:t>
      </w:r>
      <w:r w:rsidRPr="002D18F2">
        <w:t>разведения крови</w:t>
      </w:r>
      <w:r>
        <w:t>.</w:t>
      </w:r>
    </w:p>
    <w:p w:rsidR="00057EB9" w:rsidRDefault="00057EB9" w:rsidP="00057EB9">
      <w:pPr>
        <w:ind w:firstLine="708"/>
        <w:rPr>
          <w:b/>
          <w:i/>
        </w:rPr>
      </w:pPr>
      <w:r w:rsidRPr="002D18F2">
        <w:t>Для определения динамики изменения концентрации ретикулоцитов, в качестве контрольных значений использ</w:t>
      </w:r>
      <w:r>
        <w:t>овали</w:t>
      </w:r>
      <w:r w:rsidRPr="002D18F2">
        <w:t xml:space="preserve"> данные, полученные у этого же экспериментального животного до начала эксперимента.</w:t>
      </w:r>
    </w:p>
    <w:p w:rsidR="00057EB9" w:rsidRDefault="00057EB9" w:rsidP="00057EB9">
      <w:r>
        <w:tab/>
      </w:r>
      <w:r w:rsidRPr="008503E9">
        <w:rPr>
          <w:b/>
          <w:i/>
        </w:rPr>
        <w:t xml:space="preserve">Морфометрические  и патогистологические  исследования </w:t>
      </w:r>
      <w:r>
        <w:rPr>
          <w:b/>
          <w:i/>
        </w:rPr>
        <w:t xml:space="preserve">– </w:t>
      </w:r>
      <w:r w:rsidRPr="008503E9">
        <w:t>с их помощью оценивали площадь проходного отверстия, отложение кальция на створчатом аппарате, макро- и микроскопия, аутопсия дистальных органов</w:t>
      </w:r>
      <w:r>
        <w:t>.</w:t>
      </w:r>
      <w:r>
        <w:rPr>
          <w:b/>
          <w:i/>
        </w:rPr>
        <w:t xml:space="preserve"> </w:t>
      </w:r>
      <w:r>
        <w:t>Для этого ж</w:t>
      </w:r>
      <w:r w:rsidRPr="002D18F2">
        <w:t>ивотны</w:t>
      </w:r>
      <w:r>
        <w:t>х</w:t>
      </w:r>
      <w:r w:rsidRPr="002D18F2">
        <w:t xml:space="preserve"> вывод</w:t>
      </w:r>
      <w:r>
        <w:t>или</w:t>
      </w:r>
      <w:r w:rsidRPr="002D18F2">
        <w:t xml:space="preserve"> из эксперимента через 6 месяцев </w:t>
      </w:r>
      <w:r>
        <w:lastRenderedPageBreak/>
        <w:t xml:space="preserve">послеоперационного </w:t>
      </w:r>
      <w:r w:rsidRPr="002D18F2">
        <w:t xml:space="preserve">наблюдения, </w:t>
      </w:r>
      <w:r>
        <w:t xml:space="preserve">проводя их </w:t>
      </w:r>
      <w:r w:rsidRPr="002D18F2">
        <w:t>эвтанази</w:t>
      </w:r>
      <w:r>
        <w:t>ю</w:t>
      </w:r>
      <w:r w:rsidRPr="00CF6140">
        <w:t>. П</w:t>
      </w:r>
      <w:r w:rsidRPr="002D18F2">
        <w:t>роизводи</w:t>
      </w:r>
      <w:r>
        <w:t>ли</w:t>
      </w:r>
      <w:r w:rsidRPr="002D18F2">
        <w:t xml:space="preserve"> </w:t>
      </w:r>
      <w:proofErr w:type="gramStart"/>
      <w:r w:rsidRPr="002D18F2">
        <w:t>стандартн</w:t>
      </w:r>
      <w:r>
        <w:t>ую</w:t>
      </w:r>
      <w:proofErr w:type="gramEnd"/>
      <w:r w:rsidRPr="002D18F2">
        <w:t xml:space="preserve"> аутопсия, макроскопическое исследование внутренних органов.</w:t>
      </w:r>
    </w:p>
    <w:p w:rsidR="00057EB9" w:rsidRDefault="00057EB9" w:rsidP="00057EB9">
      <w:pPr>
        <w:ind w:firstLine="708"/>
      </w:pPr>
      <w:r>
        <w:t>Для оценки площади проходного отверстия клапана, степени отложения кальция на створчатом аппарате клапана, величины эндотелизации каркаса клапана и трехстворчатого аппарата клапана вырезали аортальный клапан с частью аорты и окружающих тканей, проводили визуальное исследование и морфометрию.</w:t>
      </w:r>
    </w:p>
    <w:p w:rsidR="00057EB9" w:rsidRPr="008503E9" w:rsidRDefault="00057EB9" w:rsidP="00057EB9">
      <w:pPr>
        <w:ind w:firstLine="708"/>
      </w:pPr>
      <w:r w:rsidRPr="008503E9">
        <w:rPr>
          <w:b/>
          <w:i/>
        </w:rPr>
        <w:t>Гистологическое исследование</w:t>
      </w:r>
      <w:r>
        <w:rPr>
          <w:b/>
          <w:i/>
        </w:rPr>
        <w:t xml:space="preserve"> – </w:t>
      </w:r>
      <w:r w:rsidRPr="008503E9">
        <w:t>проводилось с целью оценки</w:t>
      </w:r>
      <w:r>
        <w:rPr>
          <w:b/>
          <w:i/>
        </w:rPr>
        <w:t xml:space="preserve"> </w:t>
      </w:r>
      <w:r>
        <w:t>в</w:t>
      </w:r>
      <w:r w:rsidRPr="008503E9">
        <w:t>еличин</w:t>
      </w:r>
      <w:r>
        <w:t>ы</w:t>
      </w:r>
      <w:r w:rsidRPr="008503E9">
        <w:t xml:space="preserve"> эндотелизации каркаса клапана и трехстворчатого аппарата клапана</w:t>
      </w:r>
      <w:r>
        <w:rPr>
          <w:sz w:val="24"/>
          <w:szCs w:val="24"/>
        </w:rPr>
        <w:t xml:space="preserve">. </w:t>
      </w:r>
      <w:r w:rsidRPr="008503E9">
        <w:t xml:space="preserve">Для этого </w:t>
      </w:r>
      <w:r>
        <w:t xml:space="preserve">у </w:t>
      </w:r>
      <w:r w:rsidRPr="008503E9">
        <w:t>живот</w:t>
      </w:r>
      <w:r>
        <w:t xml:space="preserve">ного, выведенного из эксперимента путем эвтаназии, </w:t>
      </w:r>
      <w:r w:rsidRPr="002D18F2">
        <w:t>забира</w:t>
      </w:r>
      <w:r>
        <w:t>ли</w:t>
      </w:r>
      <w:r w:rsidRPr="002D18F2">
        <w:t xml:space="preserve"> сердце</w:t>
      </w:r>
      <w:r>
        <w:t xml:space="preserve"> с имплантированным клапаном</w:t>
      </w:r>
      <w:r w:rsidRPr="002D18F2">
        <w:t>, печень</w:t>
      </w:r>
      <w:r>
        <w:t xml:space="preserve"> и</w:t>
      </w:r>
      <w:r w:rsidRPr="002D18F2">
        <w:t xml:space="preserve"> почки. </w:t>
      </w:r>
      <w:r>
        <w:t xml:space="preserve"> </w:t>
      </w:r>
      <w:r w:rsidRPr="008503E9">
        <w:t>Из</w:t>
      </w:r>
      <w:r w:rsidRPr="002D18F2">
        <w:t xml:space="preserve"> полученных материалов </w:t>
      </w:r>
      <w:r>
        <w:t xml:space="preserve">далее </w:t>
      </w:r>
      <w:r w:rsidRPr="002D18F2">
        <w:t>выреза</w:t>
      </w:r>
      <w:r>
        <w:t>ли</w:t>
      </w:r>
      <w:r w:rsidRPr="002D18F2">
        <w:t xml:space="preserve"> стандартные фрагменты для гистологических исследований и фиксир</w:t>
      </w:r>
      <w:r>
        <w:t>овали</w:t>
      </w:r>
      <w:r w:rsidRPr="002D18F2">
        <w:t xml:space="preserve"> 48 часов в 10</w:t>
      </w:r>
      <w:r w:rsidRPr="00095561">
        <w:t xml:space="preserve"> </w:t>
      </w:r>
      <w:r w:rsidRPr="002D18F2">
        <w:t>% формалине, приготовленном на фосфатном буфере (Биовитрум, Россия). Затем материалы помеща</w:t>
      </w:r>
      <w:r>
        <w:t>ли</w:t>
      </w:r>
      <w:r w:rsidRPr="002D18F2">
        <w:t xml:space="preserve"> в гистологические кассеты, выполня</w:t>
      </w:r>
      <w:r>
        <w:t>ли</w:t>
      </w:r>
      <w:r w:rsidRPr="002D18F2">
        <w:t xml:space="preserve"> гистологическ</w:t>
      </w:r>
      <w:r>
        <w:t>ую</w:t>
      </w:r>
      <w:r w:rsidRPr="002D18F2">
        <w:t xml:space="preserve"> проводк</w:t>
      </w:r>
      <w:r>
        <w:t>у</w:t>
      </w:r>
      <w:r w:rsidRPr="002D18F2">
        <w:t xml:space="preserve"> с помощью аппарата STP120 (Leica, США), после чего готов</w:t>
      </w:r>
      <w:r>
        <w:t>или</w:t>
      </w:r>
      <w:r w:rsidRPr="002D18F2">
        <w:t xml:space="preserve"> гистологические парафиновые блоки. Для получения гистологических срезов использ</w:t>
      </w:r>
      <w:r>
        <w:t>овали</w:t>
      </w:r>
      <w:r w:rsidRPr="002D18F2">
        <w:t xml:space="preserve"> полуавтоматический микротом HM340 (Microm, Германия). Срезы толщиной 4 микрометра фиксир</w:t>
      </w:r>
      <w:r>
        <w:t>овали</w:t>
      </w:r>
      <w:r w:rsidRPr="002D18F2">
        <w:t xml:space="preserve"> на стеклах Superfrost Plus (Menzel, Германия) и подсушива</w:t>
      </w:r>
      <w:r>
        <w:t>ли</w:t>
      </w:r>
      <w:r w:rsidRPr="002D18F2">
        <w:t xml:space="preserve"> 4 часа в термостате при 40 </w:t>
      </w:r>
      <w:r>
        <w:t>º</w:t>
      </w:r>
      <w:r>
        <w:rPr>
          <w:lang w:val="en-US"/>
        </w:rPr>
        <w:t>C</w:t>
      </w:r>
      <w:r w:rsidRPr="002D18F2">
        <w:t>. Окраск</w:t>
      </w:r>
      <w:r>
        <w:t>у</w:t>
      </w:r>
      <w:r w:rsidRPr="002D18F2">
        <w:t xml:space="preserve"> срезов гематоксилином-эозином выполня</w:t>
      </w:r>
      <w:r>
        <w:t>ли</w:t>
      </w:r>
      <w:r w:rsidRPr="002D18F2">
        <w:t xml:space="preserve"> с помощью системы автоматической гистологической окраски HMS70 (Thermofisher, США). Перед заключением в монтирующую среду BioMount (Biooptica, Италия) стекла со срезами </w:t>
      </w:r>
      <w:r>
        <w:t xml:space="preserve">дегидратировали на </w:t>
      </w:r>
      <w:r w:rsidRPr="002D18F2">
        <w:t>батаре</w:t>
      </w:r>
      <w:r>
        <w:t>е</w:t>
      </w:r>
      <w:r w:rsidRPr="002D18F2">
        <w:t xml:space="preserve"> этилов</w:t>
      </w:r>
      <w:r>
        <w:t>ого</w:t>
      </w:r>
      <w:r w:rsidRPr="002D18F2">
        <w:t xml:space="preserve"> спирт</w:t>
      </w:r>
      <w:r>
        <w:t>а</w:t>
      </w:r>
      <w:r w:rsidRPr="002D18F2">
        <w:t xml:space="preserve"> возрастающей концентрацией от 70 до 100</w:t>
      </w:r>
      <w:r w:rsidRPr="00095561">
        <w:t xml:space="preserve"> </w:t>
      </w:r>
      <w:r w:rsidRPr="002D18F2">
        <w:t>% и с финальной 10-минутной инкубацией в ксилоле. Микроскопическое исследование выполня</w:t>
      </w:r>
      <w:r>
        <w:t>ли</w:t>
      </w:r>
      <w:r w:rsidRPr="002D18F2">
        <w:t xml:space="preserve"> на микроскопе Axioskop 40FL (Carl Zeiss, Германия). В гистологическом заключении приводи</w:t>
      </w:r>
      <w:r>
        <w:t>ли</w:t>
      </w:r>
      <w:r w:rsidRPr="002D18F2">
        <w:t xml:space="preserve"> описание микроструктуры тканей. </w:t>
      </w:r>
    </w:p>
    <w:p w:rsidR="00057EB9" w:rsidRDefault="00057EB9" w:rsidP="00057EB9">
      <w:pPr>
        <w:ind w:firstLine="708"/>
      </w:pPr>
      <w:r w:rsidRPr="008503E9">
        <w:rPr>
          <w:b/>
          <w:i/>
        </w:rPr>
        <w:t>Эхокардиографические исследования</w:t>
      </w:r>
      <w:r>
        <w:t xml:space="preserve"> были выполнены у всех экспериментальных животных перед проведением имплантации клапана, а </w:t>
      </w:r>
      <w:r>
        <w:lastRenderedPageBreak/>
        <w:t xml:space="preserve">затем </w:t>
      </w:r>
      <w:r w:rsidRPr="002D18F2">
        <w:t xml:space="preserve">в послеоперационном периоде </w:t>
      </w:r>
      <w:r>
        <w:t xml:space="preserve">через 3 и </w:t>
      </w:r>
      <w:r w:rsidRPr="002D18F2">
        <w:t>6 месяц</w:t>
      </w:r>
      <w:r>
        <w:t>ев после имплантации клапана</w:t>
      </w:r>
      <w:r w:rsidRPr="002D18F2">
        <w:t xml:space="preserve"> для </w:t>
      </w:r>
      <w:r>
        <w:t>эхокардиографической</w:t>
      </w:r>
      <w:r w:rsidRPr="002D18F2">
        <w:t xml:space="preserve"> оценки последствий имплантации </w:t>
      </w:r>
      <w:r>
        <w:t>клапана</w:t>
      </w:r>
      <w:r w:rsidRPr="002D18F2">
        <w:t>.</w:t>
      </w:r>
      <w:r>
        <w:t xml:space="preserve"> </w:t>
      </w:r>
      <w:r w:rsidRPr="00DF7E53">
        <w:t xml:space="preserve">В ходе ЭхоКГ были получены необходимые ультразвуковые </w:t>
      </w:r>
      <w:r>
        <w:t xml:space="preserve">срезы </w:t>
      </w:r>
      <w:r w:rsidRPr="00DF7E53">
        <w:t>сердца, включая лево</w:t>
      </w:r>
      <w:r>
        <w:t>е</w:t>
      </w:r>
      <w:r w:rsidRPr="00DF7E53">
        <w:t xml:space="preserve"> предсерди</w:t>
      </w:r>
      <w:r>
        <w:t>е</w:t>
      </w:r>
      <w:r w:rsidRPr="00DF7E53">
        <w:t>, желудочк</w:t>
      </w:r>
      <w:r>
        <w:t>и</w:t>
      </w:r>
      <w:r w:rsidRPr="00DF7E53">
        <w:t>, крупны</w:t>
      </w:r>
      <w:r>
        <w:t>е</w:t>
      </w:r>
      <w:r w:rsidRPr="00DF7E53">
        <w:t xml:space="preserve"> сосуд</w:t>
      </w:r>
      <w:r>
        <w:t>ы</w:t>
      </w:r>
      <w:r w:rsidRPr="00DF7E53">
        <w:t xml:space="preserve"> (аорт</w:t>
      </w:r>
      <w:r>
        <w:t>а</w:t>
      </w:r>
      <w:r w:rsidRPr="00DF7E53">
        <w:t xml:space="preserve"> и легочн</w:t>
      </w:r>
      <w:r>
        <w:t>ый</w:t>
      </w:r>
      <w:r w:rsidRPr="00DF7E53">
        <w:t xml:space="preserve"> ствол)</w:t>
      </w:r>
      <w:r>
        <w:t xml:space="preserve">, а также были получены основные показатели гемодинамики: </w:t>
      </w:r>
      <w:r w:rsidRPr="008503E9">
        <w:t xml:space="preserve"> конечно-диастолический объем сердца </w:t>
      </w:r>
      <w:r>
        <w:t>(</w:t>
      </w:r>
      <w:r w:rsidRPr="008503E9">
        <w:t>КДО</w:t>
      </w:r>
      <w:r>
        <w:t>)</w:t>
      </w:r>
      <w:r w:rsidRPr="008503E9">
        <w:t xml:space="preserve">,  конечно-систолический объем сердца </w:t>
      </w:r>
      <w:r>
        <w:t>(</w:t>
      </w:r>
      <w:r w:rsidRPr="008503E9">
        <w:t>КСО</w:t>
      </w:r>
      <w:r>
        <w:t>),</w:t>
      </w:r>
      <w:r w:rsidRPr="008503E9">
        <w:t xml:space="preserve"> фракция выброса </w:t>
      </w:r>
      <w:r>
        <w:t>(</w:t>
      </w:r>
      <w:r w:rsidRPr="008503E9">
        <w:t>ФВ</w:t>
      </w:r>
      <w:r>
        <w:t>)</w:t>
      </w:r>
      <w:r w:rsidRPr="008503E9">
        <w:t xml:space="preserve">,  минутный объем кровообращения </w:t>
      </w:r>
      <w:r>
        <w:t>(</w:t>
      </w:r>
      <w:r w:rsidRPr="008503E9">
        <w:t>МОК</w:t>
      </w:r>
      <w:r>
        <w:t>).</w:t>
      </w:r>
    </w:p>
    <w:p w:rsidR="00057EB9" w:rsidRDefault="00057EB9" w:rsidP="00057EB9">
      <w:pPr>
        <w:ind w:firstLine="708"/>
      </w:pPr>
      <w:r>
        <w:t xml:space="preserve">Кроме того,  целью оценки реакции животных на имплантацию клапана проводился </w:t>
      </w:r>
      <w:r w:rsidRPr="0012082B">
        <w:rPr>
          <w:b/>
          <w:i/>
        </w:rPr>
        <w:t>мониторинг их веса</w:t>
      </w:r>
      <w:r>
        <w:t xml:space="preserve"> – на сроке 3 и 6 мес. после оперативного вмешательства. Полученные данные сопоставлялись с </w:t>
      </w:r>
      <w:proofErr w:type="gramStart"/>
      <w:r>
        <w:t>исходными</w:t>
      </w:r>
      <w:proofErr w:type="gramEnd"/>
      <w:r>
        <w:t xml:space="preserve"> для каждого животного.</w:t>
      </w:r>
    </w:p>
    <w:p w:rsidR="00057EB9" w:rsidRDefault="00057EB9" w:rsidP="00057EB9">
      <w:pPr>
        <w:ind w:firstLine="708"/>
      </w:pPr>
      <w:r w:rsidRPr="0012082B">
        <w:rPr>
          <w:b/>
          <w:i/>
        </w:rPr>
        <w:t>Метод математической обработки</w:t>
      </w:r>
      <w:r w:rsidRPr="00173CB8">
        <w:rPr>
          <w:i/>
        </w:rPr>
        <w:t xml:space="preserve"> </w:t>
      </w:r>
      <w:r w:rsidRPr="0012082B">
        <w:t>полученных результатов</w:t>
      </w:r>
      <w:r w:rsidRPr="00173CB8">
        <w:rPr>
          <w:i/>
        </w:rPr>
        <w:t xml:space="preserve"> </w:t>
      </w:r>
      <w:r w:rsidRPr="00173CB8">
        <w:t xml:space="preserve">позволил </w:t>
      </w:r>
      <w:r>
        <w:t>изучить динамику всех оцениваемых параметров, а также</w:t>
      </w:r>
      <w:r w:rsidRPr="00173CB8">
        <w:t xml:space="preserve"> и проанализировать данные с точки зрения их достоверности. Для  обработки данных, полученных в ходе исследования, применялись методы математической статистики и вариационного анализа. Статистический анализ материала проводился с использованием программы </w:t>
      </w:r>
      <w:proofErr w:type="gramStart"/>
      <w:r w:rsidRPr="00173CB8">
        <w:t>М</w:t>
      </w:r>
      <w:proofErr w:type="gramEnd"/>
      <w:r w:rsidRPr="00173CB8">
        <w:t xml:space="preserve">icrоsoft Ехcеl XP. Достоверность полученных результатов оценивалась с помощью </w:t>
      </w:r>
      <w:r>
        <w:t xml:space="preserve">непараметрического критерия  Вилкоксона для связанных выборок. Различия считались достоверными при уровне </w:t>
      </w:r>
      <w:proofErr w:type="gramStart"/>
      <w:r>
        <w:t>р</w:t>
      </w:r>
      <w:proofErr w:type="gramEnd"/>
      <w:r>
        <w:t>&lt;0,05.</w:t>
      </w:r>
    </w:p>
    <w:p w:rsidR="00057EB9" w:rsidRDefault="00057EB9">
      <w:pPr>
        <w:spacing w:after="160" w:line="259" w:lineRule="auto"/>
        <w:jc w:val="left"/>
        <w:rPr>
          <w:shd w:val="clear" w:color="auto" w:fill="FFFFFF"/>
        </w:rPr>
      </w:pPr>
      <w:r>
        <w:rPr>
          <w:shd w:val="clear" w:color="auto" w:fill="FFFFFF"/>
        </w:rPr>
        <w:br w:type="page"/>
      </w:r>
    </w:p>
    <w:p w:rsidR="00C5632E" w:rsidRPr="00064778" w:rsidRDefault="00C5632E" w:rsidP="00C5632E">
      <w:pPr>
        <w:ind w:firstLine="708"/>
        <w:rPr>
          <w:b/>
        </w:rPr>
      </w:pPr>
      <w:r w:rsidRPr="00064778">
        <w:rPr>
          <w:b/>
        </w:rPr>
        <w:lastRenderedPageBreak/>
        <w:t xml:space="preserve">2.4. </w:t>
      </w:r>
      <w:r w:rsidRPr="00064778">
        <w:rPr>
          <w:b/>
          <w:szCs w:val="24"/>
        </w:rPr>
        <w:t>Анализ результатов патоморфологических исследований сердца, имплантируемых медицинских изделий и внутренних органов экспериментальных животных</w:t>
      </w:r>
    </w:p>
    <w:p w:rsidR="00C5632E" w:rsidRPr="00064778" w:rsidRDefault="00C5632E" w:rsidP="002E0468">
      <w:pPr>
        <w:pStyle w:val="a7"/>
        <w:widowControl w:val="0"/>
        <w:numPr>
          <w:ilvl w:val="2"/>
          <w:numId w:val="14"/>
        </w:numPr>
        <w:suppressAutoHyphens/>
        <w:jc w:val="center"/>
        <w:rPr>
          <w:b/>
          <w:szCs w:val="28"/>
        </w:rPr>
      </w:pPr>
      <w:r w:rsidRPr="00064778">
        <w:rPr>
          <w:b/>
          <w:szCs w:val="28"/>
        </w:rPr>
        <w:t>Результаты аутопсии</w:t>
      </w:r>
    </w:p>
    <w:p w:rsidR="00C5632E" w:rsidRPr="00064778" w:rsidRDefault="00C5632E" w:rsidP="00C5632E">
      <w:pPr>
        <w:ind w:firstLine="360"/>
      </w:pPr>
      <w:r w:rsidRPr="00D8371A">
        <w:t>Срединным разрезом рассекали мягкие ткани передней грудной</w:t>
      </w:r>
      <w:r>
        <w:t xml:space="preserve"> </w:t>
      </w:r>
      <w:r w:rsidRPr="00D8371A">
        <w:t>стенки без повреждения грудины и органов средостения и мягкие ткани</w:t>
      </w:r>
      <w:r>
        <w:t xml:space="preserve"> </w:t>
      </w:r>
      <w:r w:rsidRPr="00D8371A">
        <w:t>брюшной стенки. Производил</w:t>
      </w:r>
      <w:r>
        <w:t>и</w:t>
      </w:r>
      <w:r w:rsidRPr="00D8371A">
        <w:t xml:space="preserve"> удаление органов брюшной полости за</w:t>
      </w:r>
      <w:r>
        <w:t xml:space="preserve"> </w:t>
      </w:r>
      <w:r w:rsidRPr="00D8371A">
        <w:t xml:space="preserve">исключением печени и </w:t>
      </w:r>
      <w:r w:rsidRPr="00062164">
        <w:t xml:space="preserve">почек, которые забирали для дальнейшего гистологического исследования. Затем, производили рассечение грудины без повреждения органов средостения (рис. </w:t>
      </w:r>
      <w:r>
        <w:t>38</w:t>
      </w:r>
      <w:r w:rsidRPr="00062164">
        <w:t>)</w:t>
      </w:r>
      <w:r>
        <w:t>.</w:t>
      </w:r>
    </w:p>
    <w:p w:rsidR="00C5632E" w:rsidRPr="00062164" w:rsidRDefault="00C5632E" w:rsidP="00C5632E">
      <w:pPr>
        <w:keepNext/>
        <w:tabs>
          <w:tab w:val="left" w:pos="1140"/>
        </w:tabs>
        <w:ind w:firstLine="709"/>
        <w:rPr>
          <w:sz w:val="24"/>
          <w:szCs w:val="24"/>
        </w:rPr>
      </w:pPr>
      <w:r w:rsidRPr="00062164">
        <w:rPr>
          <w:noProof/>
          <w:sz w:val="24"/>
          <w:szCs w:val="24"/>
          <w:lang w:eastAsia="ru-RU"/>
        </w:rPr>
        <w:drawing>
          <wp:inline distT="0" distB="0" distL="0" distR="0">
            <wp:extent cx="3566160" cy="23774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6160" cy="2377440"/>
                    </a:xfrm>
                    <a:prstGeom prst="rect">
                      <a:avLst/>
                    </a:prstGeom>
                    <a:noFill/>
                    <a:ln>
                      <a:noFill/>
                    </a:ln>
                  </pic:spPr>
                </pic:pic>
              </a:graphicData>
            </a:graphic>
          </wp:inline>
        </w:drawing>
      </w:r>
    </w:p>
    <w:p w:rsidR="00C5632E" w:rsidRPr="00062164" w:rsidRDefault="00C5632E" w:rsidP="00C5632E">
      <w:r w:rsidRPr="00064778">
        <w:t>Рис.38.</w:t>
      </w:r>
      <w:r w:rsidRPr="00062164">
        <w:t xml:space="preserve"> Внешний вид аутопсийного доступа у экспериментального животного</w:t>
      </w:r>
    </w:p>
    <w:p w:rsidR="00C5632E" w:rsidRDefault="00C5632E" w:rsidP="00C5632E">
      <w:pPr>
        <w:ind w:firstLine="708"/>
      </w:pPr>
      <w:r w:rsidRPr="00062164">
        <w:t xml:space="preserve">После </w:t>
      </w:r>
      <w:r>
        <w:t>это</w:t>
      </w:r>
      <w:r w:rsidRPr="00062164">
        <w:t xml:space="preserve">го вскрывали перикард и детально изучали полость перикарда и внешнее состояние сердца. У всех животных было зафиксировано, что листки перикарда гладкие, блестящие, полупрозрачные. </w:t>
      </w:r>
    </w:p>
    <w:p w:rsidR="00C5632E" w:rsidRPr="00062164" w:rsidRDefault="00C5632E" w:rsidP="00C5632E">
      <w:pPr>
        <w:ind w:firstLine="708"/>
      </w:pPr>
      <w:r w:rsidRPr="00062164">
        <w:t xml:space="preserve">Затем сердце отсекали вместе с фрагментами магистральных сосудов, легкими и элементами средостения, извлекали из грудной клетки и проводили изучение состояния регионарных лимфатических узлов. У всех животных все регионарные лимфатические узлы были серого цвета, однородные, эластичной консистенции, не спаяны. </w:t>
      </w:r>
    </w:p>
    <w:p w:rsidR="00C5632E" w:rsidRPr="00064778" w:rsidRDefault="00C5632E" w:rsidP="00C5632E">
      <w:pPr>
        <w:ind w:firstLine="708"/>
      </w:pPr>
      <w:r w:rsidRPr="00062164">
        <w:lastRenderedPageBreak/>
        <w:t xml:space="preserve">Затем проводили макроскопическое исследование и морфометрию </w:t>
      </w:r>
      <w:r>
        <w:t>почек</w:t>
      </w:r>
      <w:r w:rsidRPr="00062164">
        <w:t xml:space="preserve"> (рис.</w:t>
      </w:r>
      <w:r>
        <w:t> 39</w:t>
      </w:r>
      <w:r w:rsidRPr="00062164">
        <w:t xml:space="preserve">). </w:t>
      </w:r>
    </w:p>
    <w:p w:rsidR="00C5632E" w:rsidRPr="00062164" w:rsidRDefault="00C5632E" w:rsidP="00C5632E">
      <w:pPr>
        <w:keepNext/>
        <w:tabs>
          <w:tab w:val="left" w:pos="1140"/>
        </w:tabs>
        <w:ind w:firstLine="709"/>
        <w:rPr>
          <w:sz w:val="24"/>
          <w:szCs w:val="24"/>
        </w:rPr>
      </w:pPr>
      <w:r w:rsidRPr="00062164">
        <w:rPr>
          <w:noProof/>
          <w:sz w:val="24"/>
          <w:szCs w:val="24"/>
          <w:lang w:eastAsia="ru-RU"/>
        </w:rPr>
        <w:drawing>
          <wp:inline distT="0" distB="0" distL="0" distR="0">
            <wp:extent cx="4804410" cy="36671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4410" cy="3667125"/>
                    </a:xfrm>
                    <a:prstGeom prst="rect">
                      <a:avLst/>
                    </a:prstGeom>
                    <a:noFill/>
                    <a:ln>
                      <a:noFill/>
                    </a:ln>
                  </pic:spPr>
                </pic:pic>
              </a:graphicData>
            </a:graphic>
          </wp:inline>
        </w:drawing>
      </w:r>
    </w:p>
    <w:p w:rsidR="00C5632E" w:rsidRPr="00062164" w:rsidRDefault="00C5632E" w:rsidP="00C5632E">
      <w:r w:rsidRPr="007E698F">
        <w:t>Рис</w:t>
      </w:r>
      <w:r>
        <w:t>.</w:t>
      </w:r>
      <w:r w:rsidRPr="007E698F">
        <w:t xml:space="preserve"> </w:t>
      </w:r>
      <w:r>
        <w:t>39</w:t>
      </w:r>
      <w:r w:rsidRPr="007E698F">
        <w:t>.</w:t>
      </w:r>
      <w:r w:rsidRPr="00062164">
        <w:t xml:space="preserve"> Морфометрия препарата почки экспериментального животного</w:t>
      </w:r>
    </w:p>
    <w:p w:rsidR="00C5632E" w:rsidRDefault="00C5632E" w:rsidP="00C5632E">
      <w:pPr>
        <w:ind w:firstLine="708"/>
      </w:pPr>
      <w:r w:rsidRPr="00064778">
        <w:t>У всех животных чашечно-лоханочная система была гладкая блестящая, полупрозрачная, без патологических изменений.</w:t>
      </w:r>
    </w:p>
    <w:p w:rsidR="00C5632E" w:rsidRPr="00062164" w:rsidRDefault="00C5632E" w:rsidP="00C5632E">
      <w:pPr>
        <w:ind w:firstLine="708"/>
      </w:pPr>
      <w:r>
        <w:t>Кроме того, проводилось</w:t>
      </w:r>
      <w:r w:rsidRPr="00064778">
        <w:t xml:space="preserve"> </w:t>
      </w:r>
      <w:r w:rsidRPr="00062164">
        <w:t>макроскопическое исследование и морфометри</w:t>
      </w:r>
      <w:r>
        <w:t>я печени.</w:t>
      </w:r>
      <w:r w:rsidRPr="00064778">
        <w:t xml:space="preserve"> </w:t>
      </w:r>
      <w:r w:rsidRPr="00062164">
        <w:t xml:space="preserve">У всех животных </w:t>
      </w:r>
      <w:r>
        <w:t xml:space="preserve">была </w:t>
      </w:r>
      <w:r w:rsidRPr="00062164">
        <w:t xml:space="preserve">печень плотной консистенции, цвет и края печени </w:t>
      </w:r>
      <w:r>
        <w:t>соответствовали нормам, патологические изменения выявлены не были (рис. 40)</w:t>
      </w:r>
      <w:r w:rsidRPr="00062164">
        <w:t xml:space="preserve">. </w:t>
      </w:r>
    </w:p>
    <w:p w:rsidR="00C5632E" w:rsidRPr="00062164" w:rsidRDefault="00C5632E" w:rsidP="00C5632E"/>
    <w:p w:rsidR="00C5632E" w:rsidRPr="00062164" w:rsidRDefault="00C5632E" w:rsidP="00C5632E">
      <w:pPr>
        <w:keepNext/>
        <w:tabs>
          <w:tab w:val="left" w:pos="1140"/>
        </w:tabs>
        <w:ind w:firstLine="709"/>
        <w:rPr>
          <w:sz w:val="24"/>
          <w:szCs w:val="24"/>
        </w:rPr>
      </w:pPr>
      <w:r w:rsidRPr="00062164">
        <w:rPr>
          <w:noProof/>
          <w:sz w:val="24"/>
          <w:szCs w:val="24"/>
          <w:lang w:eastAsia="ru-RU"/>
        </w:rPr>
        <w:lastRenderedPageBreak/>
        <w:drawing>
          <wp:inline distT="0" distB="0" distL="0" distR="0">
            <wp:extent cx="4118610" cy="2914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8610" cy="2914650"/>
                    </a:xfrm>
                    <a:prstGeom prst="rect">
                      <a:avLst/>
                    </a:prstGeom>
                    <a:noFill/>
                    <a:ln>
                      <a:noFill/>
                    </a:ln>
                  </pic:spPr>
                </pic:pic>
              </a:graphicData>
            </a:graphic>
          </wp:inline>
        </w:drawing>
      </w:r>
    </w:p>
    <w:p w:rsidR="00C5632E" w:rsidRPr="00062164" w:rsidRDefault="00C5632E" w:rsidP="00C5632E">
      <w:r w:rsidRPr="007E698F">
        <w:t>Рис</w:t>
      </w:r>
      <w:r>
        <w:t>.40</w:t>
      </w:r>
      <w:r w:rsidRPr="007E698F">
        <w:t>.</w:t>
      </w:r>
      <w:r w:rsidRPr="00062164">
        <w:t xml:space="preserve"> Внешний вид препарата печени экспериментального животного</w:t>
      </w:r>
    </w:p>
    <w:p w:rsidR="00C5632E" w:rsidRDefault="00C5632E" w:rsidP="00C5632E">
      <w:pPr>
        <w:ind w:firstLine="708"/>
      </w:pPr>
      <w:r>
        <w:t>На следующем этапе проводилась детальная оценка состояния</w:t>
      </w:r>
      <w:r w:rsidRPr="00062164">
        <w:t xml:space="preserve"> сердц</w:t>
      </w:r>
      <w:r>
        <w:t>а и его камер</w:t>
      </w:r>
      <w:r w:rsidRPr="00062164">
        <w:t>, производил</w:t>
      </w:r>
      <w:r>
        <w:t>ось</w:t>
      </w:r>
      <w:r w:rsidRPr="00062164">
        <w:t xml:space="preserve"> вскрытие предсердий и желудочков. </w:t>
      </w:r>
      <w:r>
        <w:t xml:space="preserve">В результате было установлено, что </w:t>
      </w:r>
      <w:r w:rsidRPr="00062164">
        <w:t xml:space="preserve"> </w:t>
      </w:r>
      <w:r>
        <w:t>у всех прооперированных животных</w:t>
      </w:r>
      <w:r w:rsidRPr="00062164">
        <w:t xml:space="preserve"> каркас протеза клапана </w:t>
      </w:r>
      <w:r>
        <w:t xml:space="preserve">был </w:t>
      </w:r>
      <w:r w:rsidRPr="00062164">
        <w:t>расположен в аорте и не выда</w:t>
      </w:r>
      <w:r>
        <w:t>вался</w:t>
      </w:r>
      <w:r w:rsidRPr="00062164">
        <w:t xml:space="preserve"> в желудочек</w:t>
      </w:r>
      <w:r>
        <w:t xml:space="preserve"> (рис. 41)</w:t>
      </w:r>
      <w:r w:rsidRPr="00062164">
        <w:t xml:space="preserve">. </w:t>
      </w:r>
    </w:p>
    <w:p w:rsidR="00C5632E" w:rsidRDefault="00C5632E" w:rsidP="00C5632E">
      <w:r w:rsidRPr="00062164">
        <w:rPr>
          <w:noProof/>
          <w:sz w:val="24"/>
          <w:szCs w:val="24"/>
          <w:lang w:eastAsia="ru-RU"/>
        </w:rPr>
        <w:drawing>
          <wp:inline distT="0" distB="0" distL="0" distR="0">
            <wp:extent cx="4229100" cy="32099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100" cy="3209925"/>
                    </a:xfrm>
                    <a:prstGeom prst="rect">
                      <a:avLst/>
                    </a:prstGeom>
                    <a:noFill/>
                    <a:ln>
                      <a:noFill/>
                    </a:ln>
                  </pic:spPr>
                </pic:pic>
              </a:graphicData>
            </a:graphic>
          </wp:inline>
        </w:drawing>
      </w:r>
    </w:p>
    <w:p w:rsidR="00C5632E" w:rsidRDefault="00C5632E" w:rsidP="00C5632E">
      <w:r w:rsidRPr="007E698F">
        <w:t>Рис</w:t>
      </w:r>
      <w:r>
        <w:t>. 41</w:t>
      </w:r>
      <w:r w:rsidRPr="007E698F">
        <w:t>.</w:t>
      </w:r>
      <w:r w:rsidRPr="00062164">
        <w:t xml:space="preserve"> Препарат сердца экспериментального животного с имп</w:t>
      </w:r>
      <w:r>
        <w:t>лантированным протезом клапана</w:t>
      </w:r>
    </w:p>
    <w:p w:rsidR="00C5632E" w:rsidRPr="008C08CF" w:rsidRDefault="00C5632E" w:rsidP="00C5632E">
      <w:pPr>
        <w:ind w:firstLine="709"/>
        <w:rPr>
          <w:sz w:val="24"/>
          <w:szCs w:val="24"/>
        </w:rPr>
      </w:pPr>
      <w:r w:rsidRPr="008C08CF">
        <w:rPr>
          <w:sz w:val="24"/>
          <w:szCs w:val="24"/>
        </w:rPr>
        <w:lastRenderedPageBreak/>
        <w:t xml:space="preserve">Примечание: </w:t>
      </w:r>
      <w:r>
        <w:rPr>
          <w:sz w:val="24"/>
          <w:szCs w:val="24"/>
        </w:rPr>
        <w:t>к</w:t>
      </w:r>
      <w:r w:rsidRPr="008C08CF">
        <w:rPr>
          <w:sz w:val="24"/>
          <w:szCs w:val="24"/>
        </w:rPr>
        <w:t>аркас протеза клапана не выдаётся в желудочек, полностью расположен в аорте. Предсердия без значительных изменений. Правый желудочек умеренно гипертрофирован</w:t>
      </w:r>
    </w:p>
    <w:p w:rsidR="00C5632E" w:rsidRDefault="00C5632E" w:rsidP="00C5632E">
      <w:pPr>
        <w:ind w:firstLine="709"/>
      </w:pPr>
      <w:r w:rsidRPr="00062164">
        <w:t xml:space="preserve">Затем производили рассечение аорты и извлечение протеза клапана, фиксировали срастание биологического материала протеза в области короны с аортой, покрытие металлической структуры протеза тканью реципиента. </w:t>
      </w:r>
      <w:r>
        <w:t>Кроме того, во всех случаях было установлено</w:t>
      </w:r>
      <w:r w:rsidRPr="00062164">
        <w:t xml:space="preserve">, что клапанный аппарат протеза не изменен, створки подвижны и работают правильно, форма каркаса сохранена и диаметры совпадают с </w:t>
      </w:r>
      <w:proofErr w:type="gramStart"/>
      <w:r w:rsidRPr="00062164">
        <w:t>исходными</w:t>
      </w:r>
      <w:proofErr w:type="gramEnd"/>
      <w:r w:rsidRPr="00062164">
        <w:t xml:space="preserve">. </w:t>
      </w:r>
    </w:p>
    <w:p w:rsidR="00C5632E" w:rsidRPr="008C08CF" w:rsidRDefault="00C5632E" w:rsidP="00C5632E">
      <w:pPr>
        <w:ind w:firstLine="709"/>
      </w:pPr>
      <w:r>
        <w:t xml:space="preserve">На данном этапе исследования </w:t>
      </w:r>
      <w:r w:rsidRPr="00062164">
        <w:t xml:space="preserve">особое внимание </w:t>
      </w:r>
      <w:r>
        <w:t xml:space="preserve">акцентировалось </w:t>
      </w:r>
      <w:r w:rsidRPr="00062164">
        <w:t>на местн</w:t>
      </w:r>
      <w:r>
        <w:t>ой</w:t>
      </w:r>
      <w:r w:rsidRPr="00062164">
        <w:t xml:space="preserve"> реакци</w:t>
      </w:r>
      <w:r>
        <w:t>и</w:t>
      </w:r>
      <w:r w:rsidRPr="00062164">
        <w:t xml:space="preserve"> тканей, непосредственно приле</w:t>
      </w:r>
      <w:r>
        <w:t>жащих</w:t>
      </w:r>
      <w:r w:rsidRPr="00062164">
        <w:t xml:space="preserve"> к протезу клапана. </w:t>
      </w:r>
      <w:r>
        <w:t>При этом ни в одном случае не было</w:t>
      </w:r>
      <w:r w:rsidRPr="00062164">
        <w:t xml:space="preserve"> зафиксировано отклонений от нормы, патологических изменений не обнаружено</w:t>
      </w:r>
      <w:r>
        <w:t>. Б</w:t>
      </w:r>
      <w:r w:rsidRPr="00062164">
        <w:t>иологический материал протеза клапана не име</w:t>
      </w:r>
      <w:r>
        <w:t>л</w:t>
      </w:r>
      <w:r w:rsidRPr="00062164">
        <w:t xml:space="preserve"> видимых разрывов и плотно прилега</w:t>
      </w:r>
      <w:r>
        <w:t>л</w:t>
      </w:r>
      <w:r w:rsidRPr="00062164">
        <w:t xml:space="preserve"> к каркасу протеза клапана, порванных и прорвавшихся нитей </w:t>
      </w:r>
      <w:r>
        <w:t xml:space="preserve">также не было </w:t>
      </w:r>
      <w:r w:rsidRPr="00062164">
        <w:t xml:space="preserve">обнаружено (рис. </w:t>
      </w:r>
      <w:r>
        <w:t>42-44</w:t>
      </w:r>
      <w:r w:rsidRPr="00062164">
        <w:t xml:space="preserve">). </w:t>
      </w:r>
    </w:p>
    <w:p w:rsidR="00C5632E" w:rsidRPr="00062164" w:rsidRDefault="00C5632E" w:rsidP="00C5632E">
      <w:pPr>
        <w:keepNext/>
        <w:tabs>
          <w:tab w:val="left" w:pos="1140"/>
        </w:tabs>
        <w:ind w:firstLine="709"/>
        <w:rPr>
          <w:sz w:val="24"/>
          <w:szCs w:val="24"/>
        </w:rPr>
      </w:pPr>
      <w:r w:rsidRPr="00062164">
        <w:rPr>
          <w:noProof/>
          <w:sz w:val="24"/>
          <w:szCs w:val="24"/>
          <w:lang w:eastAsia="ru-RU"/>
        </w:rPr>
        <w:drawing>
          <wp:inline distT="0" distB="0" distL="0" distR="0">
            <wp:extent cx="4347210" cy="34766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7210" cy="3476625"/>
                    </a:xfrm>
                    <a:prstGeom prst="rect">
                      <a:avLst/>
                    </a:prstGeom>
                    <a:noFill/>
                    <a:ln>
                      <a:noFill/>
                    </a:ln>
                  </pic:spPr>
                </pic:pic>
              </a:graphicData>
            </a:graphic>
          </wp:inline>
        </w:drawing>
      </w:r>
    </w:p>
    <w:p w:rsidR="00C5632E" w:rsidRDefault="00C5632E" w:rsidP="00C5632E">
      <w:r>
        <w:t>Рис. 42</w:t>
      </w:r>
      <w:r w:rsidRPr="007E698F">
        <w:t>.</w:t>
      </w:r>
      <w:r w:rsidRPr="00062164">
        <w:t xml:space="preserve"> Препарат выводного отдела левого желудочка сердца с проксимальным участком аорты и имплантированным протезом клапана.</w:t>
      </w:r>
    </w:p>
    <w:p w:rsidR="00C5632E" w:rsidRPr="008C08CF" w:rsidRDefault="00C5632E" w:rsidP="00C5632E">
      <w:pPr>
        <w:ind w:firstLine="708"/>
        <w:rPr>
          <w:sz w:val="24"/>
          <w:szCs w:val="24"/>
        </w:rPr>
      </w:pPr>
      <w:r w:rsidRPr="008C08CF">
        <w:rPr>
          <w:sz w:val="24"/>
          <w:szCs w:val="24"/>
        </w:rPr>
        <w:lastRenderedPageBreak/>
        <w:t>Примечание: биологический материал протеза располагается полностью над устьем правой коронарной артерии и частично (примерно на 30%) перекрывает устье левой коронарной артерии. Створки нативного клапана частично прижаты каркасом протеза к стенкам аорты</w:t>
      </w:r>
    </w:p>
    <w:p w:rsidR="00C5632E" w:rsidRPr="00062164" w:rsidRDefault="00C5632E" w:rsidP="00C5632E">
      <w:pPr>
        <w:widowControl w:val="0"/>
        <w:suppressAutoHyphens/>
        <w:ind w:firstLine="720"/>
        <w:rPr>
          <w:sz w:val="24"/>
          <w:szCs w:val="24"/>
        </w:rPr>
      </w:pPr>
    </w:p>
    <w:p w:rsidR="00C5632E" w:rsidRPr="00062164" w:rsidRDefault="00C5632E" w:rsidP="00C5632E">
      <w:pPr>
        <w:keepNext/>
        <w:tabs>
          <w:tab w:val="left" w:pos="1140"/>
        </w:tabs>
        <w:rPr>
          <w:sz w:val="24"/>
          <w:szCs w:val="24"/>
        </w:rPr>
      </w:pPr>
      <w:r w:rsidRPr="00062164">
        <w:rPr>
          <w:noProof/>
          <w:sz w:val="24"/>
          <w:szCs w:val="24"/>
          <w:lang w:eastAsia="ru-RU"/>
        </w:rPr>
        <w:drawing>
          <wp:inline distT="0" distB="0" distL="0" distR="0">
            <wp:extent cx="2745105" cy="3371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5105" cy="3371850"/>
                    </a:xfrm>
                    <a:prstGeom prst="rect">
                      <a:avLst/>
                    </a:prstGeom>
                    <a:noFill/>
                    <a:ln>
                      <a:noFill/>
                    </a:ln>
                  </pic:spPr>
                </pic:pic>
              </a:graphicData>
            </a:graphic>
          </wp:inline>
        </w:drawing>
      </w:r>
      <w:r w:rsidRPr="00062164">
        <w:rPr>
          <w:sz w:val="24"/>
          <w:szCs w:val="24"/>
        </w:rPr>
        <w:t xml:space="preserve"> </w:t>
      </w:r>
      <w:r>
        <w:rPr>
          <w:noProof/>
          <w:sz w:val="24"/>
          <w:szCs w:val="24"/>
          <w:lang w:eastAsia="ru-RU"/>
        </w:rPr>
        <w:t xml:space="preserve">       </w:t>
      </w:r>
      <w:r w:rsidRPr="00062164">
        <w:rPr>
          <w:noProof/>
          <w:sz w:val="24"/>
          <w:szCs w:val="24"/>
          <w:lang w:eastAsia="ru-RU"/>
        </w:rPr>
        <w:drawing>
          <wp:inline distT="0" distB="0" distL="0" distR="0">
            <wp:extent cx="2771775" cy="33432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3343275"/>
                    </a:xfrm>
                    <a:prstGeom prst="rect">
                      <a:avLst/>
                    </a:prstGeom>
                    <a:noFill/>
                    <a:ln>
                      <a:noFill/>
                    </a:ln>
                  </pic:spPr>
                </pic:pic>
              </a:graphicData>
            </a:graphic>
          </wp:inline>
        </w:drawing>
      </w:r>
    </w:p>
    <w:p w:rsidR="00C5632E" w:rsidRDefault="00C5632E" w:rsidP="00C5632E">
      <w:pPr>
        <w:pStyle w:val="ae"/>
        <w:spacing w:line="360" w:lineRule="auto"/>
        <w:jc w:val="both"/>
        <w:rPr>
          <w:b w:val="0"/>
          <w:sz w:val="24"/>
          <w:szCs w:val="24"/>
        </w:rPr>
      </w:pPr>
      <w:r w:rsidRPr="008C08CF">
        <w:rPr>
          <w:b w:val="0"/>
          <w:sz w:val="28"/>
          <w:szCs w:val="28"/>
        </w:rPr>
        <w:t>Рис.43. Препарат выводного отдела левого желудочка сердца с проксимальным участком аорты и имплантированным протезом клапана</w:t>
      </w:r>
      <w:r w:rsidRPr="00062164">
        <w:rPr>
          <w:b w:val="0"/>
          <w:sz w:val="24"/>
          <w:szCs w:val="24"/>
        </w:rPr>
        <w:t>.</w:t>
      </w:r>
    </w:p>
    <w:p w:rsidR="00C5632E" w:rsidRPr="00062164" w:rsidRDefault="00C5632E" w:rsidP="00C5632E">
      <w:pPr>
        <w:pStyle w:val="ae"/>
        <w:spacing w:line="360" w:lineRule="auto"/>
        <w:ind w:firstLine="708"/>
        <w:jc w:val="both"/>
        <w:rPr>
          <w:b w:val="0"/>
          <w:sz w:val="24"/>
          <w:szCs w:val="24"/>
        </w:rPr>
      </w:pPr>
      <w:r>
        <w:rPr>
          <w:b w:val="0"/>
          <w:sz w:val="24"/>
          <w:szCs w:val="24"/>
        </w:rPr>
        <w:t>Примечание: к</w:t>
      </w:r>
      <w:r w:rsidRPr="00062164">
        <w:rPr>
          <w:b w:val="0"/>
          <w:sz w:val="24"/>
          <w:szCs w:val="24"/>
        </w:rPr>
        <w:t xml:space="preserve">орона протеза располагается в дуге аорты, на уровне брахицефального ствола, проволока каркаса расположена параллельно проксимальному, но перпендикулярно дистальному отделу дуги аорты. Тромбы имеют постмортальное происхождение </w:t>
      </w:r>
    </w:p>
    <w:p w:rsidR="00C5632E" w:rsidRPr="00062164" w:rsidRDefault="00C5632E" w:rsidP="00C5632E">
      <w:pPr>
        <w:widowControl w:val="0"/>
        <w:suppressAutoHyphens/>
        <w:ind w:firstLine="720"/>
        <w:rPr>
          <w:sz w:val="24"/>
          <w:szCs w:val="24"/>
        </w:rPr>
      </w:pPr>
    </w:p>
    <w:p w:rsidR="00C5632E" w:rsidRPr="00062164" w:rsidRDefault="00C5632E" w:rsidP="00C5632E">
      <w:pPr>
        <w:keepNext/>
        <w:tabs>
          <w:tab w:val="left" w:pos="1140"/>
        </w:tabs>
        <w:rPr>
          <w:sz w:val="24"/>
          <w:szCs w:val="24"/>
        </w:rPr>
      </w:pPr>
      <w:r w:rsidRPr="00062164">
        <w:rPr>
          <w:noProof/>
          <w:sz w:val="24"/>
          <w:szCs w:val="24"/>
          <w:lang w:eastAsia="ru-RU"/>
        </w:rPr>
        <w:lastRenderedPageBreak/>
        <w:drawing>
          <wp:inline distT="0" distB="0" distL="0" distR="0">
            <wp:extent cx="1977390" cy="210312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7390" cy="2103120"/>
                    </a:xfrm>
                    <a:prstGeom prst="rect">
                      <a:avLst/>
                    </a:prstGeom>
                    <a:noFill/>
                    <a:ln>
                      <a:noFill/>
                    </a:ln>
                  </pic:spPr>
                </pic:pic>
              </a:graphicData>
            </a:graphic>
          </wp:inline>
        </w:drawing>
      </w:r>
      <w:r w:rsidRPr="00062164">
        <w:rPr>
          <w:sz w:val="24"/>
          <w:szCs w:val="24"/>
        </w:rPr>
        <w:t xml:space="preserve"> </w:t>
      </w:r>
      <w:r w:rsidRPr="00062164">
        <w:rPr>
          <w:noProof/>
          <w:sz w:val="24"/>
          <w:szCs w:val="24"/>
          <w:lang w:eastAsia="ru-RU"/>
        </w:rPr>
        <w:drawing>
          <wp:inline distT="0" distB="0" distL="0" distR="0">
            <wp:extent cx="1781175" cy="2103120"/>
            <wp:effectExtent l="0" t="0" r="9525" b="0"/>
            <wp:docPr id="3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781175" cy="2103120"/>
                    </a:xfrm>
                    <a:prstGeom prst="rect">
                      <a:avLst/>
                    </a:prstGeom>
                    <a:noFill/>
                    <a:ln>
                      <a:noFill/>
                    </a:ln>
                  </pic:spPr>
                </pic:pic>
              </a:graphicData>
            </a:graphic>
          </wp:inline>
        </w:drawing>
      </w:r>
      <w:r w:rsidRPr="00062164">
        <w:rPr>
          <w:sz w:val="24"/>
          <w:szCs w:val="24"/>
        </w:rPr>
        <w:t xml:space="preserve"> </w:t>
      </w:r>
      <w:r w:rsidRPr="00062164">
        <w:rPr>
          <w:noProof/>
          <w:sz w:val="24"/>
          <w:szCs w:val="24"/>
          <w:lang w:eastAsia="ru-RU"/>
        </w:rPr>
        <w:drawing>
          <wp:inline distT="0" distB="0" distL="0" distR="0">
            <wp:extent cx="1809750" cy="2103120"/>
            <wp:effectExtent l="0" t="0" r="0" b="0"/>
            <wp:docPr id="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2103120"/>
                    </a:xfrm>
                    <a:prstGeom prst="rect">
                      <a:avLst/>
                    </a:prstGeom>
                    <a:noFill/>
                    <a:ln>
                      <a:noFill/>
                    </a:ln>
                  </pic:spPr>
                </pic:pic>
              </a:graphicData>
            </a:graphic>
          </wp:inline>
        </w:drawing>
      </w:r>
      <w:r w:rsidRPr="00062164">
        <w:rPr>
          <w:sz w:val="24"/>
          <w:szCs w:val="24"/>
        </w:rPr>
        <w:t xml:space="preserve"> </w:t>
      </w:r>
      <w:r w:rsidRPr="00062164">
        <w:rPr>
          <w:noProof/>
          <w:sz w:val="24"/>
          <w:szCs w:val="24"/>
          <w:lang w:eastAsia="ru-RU"/>
        </w:rPr>
        <w:drawing>
          <wp:inline distT="0" distB="0" distL="0" distR="0">
            <wp:extent cx="1798320" cy="2103120"/>
            <wp:effectExtent l="0" t="0" r="0" b="0"/>
            <wp:docPr id="3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8" cstate="print">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8320" cy="2103120"/>
                    </a:xfrm>
                    <a:prstGeom prst="rect">
                      <a:avLst/>
                    </a:prstGeom>
                    <a:noFill/>
                    <a:ln>
                      <a:noFill/>
                    </a:ln>
                  </pic:spPr>
                </pic:pic>
              </a:graphicData>
            </a:graphic>
          </wp:inline>
        </w:drawing>
      </w:r>
    </w:p>
    <w:p w:rsidR="00C5632E" w:rsidRDefault="00C5632E" w:rsidP="00C5632E">
      <w:r w:rsidRPr="007E698F">
        <w:t>Рис</w:t>
      </w:r>
      <w:r>
        <w:t>.</w:t>
      </w:r>
      <w:r w:rsidRPr="007E698F">
        <w:t xml:space="preserve"> </w:t>
      </w:r>
      <w:r>
        <w:t>44</w:t>
      </w:r>
      <w:r w:rsidRPr="007E698F">
        <w:t>.</w:t>
      </w:r>
      <w:r w:rsidRPr="00062164">
        <w:t xml:space="preserve"> Препарат проксимального участка аорты с им</w:t>
      </w:r>
      <w:r>
        <w:t>плантированным протезом клапана</w:t>
      </w:r>
    </w:p>
    <w:p w:rsidR="00C5632E" w:rsidRPr="008C08CF" w:rsidRDefault="00C5632E" w:rsidP="00C5632E">
      <w:pPr>
        <w:pStyle w:val="ae"/>
        <w:spacing w:line="360" w:lineRule="auto"/>
        <w:jc w:val="both"/>
        <w:rPr>
          <w:b w:val="0"/>
          <w:sz w:val="24"/>
          <w:szCs w:val="24"/>
        </w:rPr>
      </w:pPr>
      <w:r>
        <w:rPr>
          <w:b w:val="0"/>
          <w:sz w:val="24"/>
          <w:szCs w:val="24"/>
        </w:rPr>
        <w:t>Примечание: с</w:t>
      </w:r>
      <w:r w:rsidRPr="00062164">
        <w:rPr>
          <w:b w:val="0"/>
          <w:sz w:val="24"/>
          <w:szCs w:val="24"/>
        </w:rPr>
        <w:t xml:space="preserve">растание биологического материала протеза в области короны с аортой. Металлическая структура протеза покрыта тканью реципиента. Тромбы имеют постмортальное происхождение </w:t>
      </w:r>
    </w:p>
    <w:p w:rsidR="00C5632E" w:rsidRDefault="00C5632E" w:rsidP="00C5632E">
      <w:pPr>
        <w:ind w:firstLine="708"/>
      </w:pPr>
      <w:r w:rsidRPr="00062164">
        <w:t>Со стороны тканей, прилежащих к протезу клапана, исследования не выявили никаких признаков воспаления в месте контакта металлической части медицинского изделия со стенкой аорты</w:t>
      </w:r>
      <w:r>
        <w:t>.</w:t>
      </w:r>
      <w:r w:rsidRPr="00062164">
        <w:t xml:space="preserve"> </w:t>
      </w:r>
      <w:r>
        <w:t>Н</w:t>
      </w:r>
      <w:r w:rsidRPr="00062164">
        <w:t>е было выявлено</w:t>
      </w:r>
      <w:r>
        <w:t xml:space="preserve"> и</w:t>
      </w:r>
      <w:r w:rsidRPr="00062164">
        <w:t xml:space="preserve"> признаков воспаления на поверхности трехстворчатого аппарата клапана. </w:t>
      </w:r>
      <w:bookmarkStart w:id="20" w:name="_Hlk6325465"/>
      <w:bookmarkStart w:id="21" w:name="_Hlk6325417"/>
    </w:p>
    <w:p w:rsidR="00C5632E" w:rsidRDefault="00C5632E" w:rsidP="00C5632E">
      <w:pPr>
        <w:ind w:firstLine="708"/>
      </w:pPr>
      <w:proofErr w:type="gramStart"/>
      <w:r>
        <w:t>Таким образом, н</w:t>
      </w:r>
      <w:r w:rsidRPr="00062164">
        <w:t xml:space="preserve">а основании вышеизложенного </w:t>
      </w:r>
      <w:r>
        <w:t>можно прийти к выводу</w:t>
      </w:r>
      <w:r w:rsidRPr="00062164">
        <w:t xml:space="preserve"> об отсутствии патологической реакции мягких тканей экспериментальных животных на имплантированные медицинские изделия</w:t>
      </w:r>
      <w:bookmarkEnd w:id="20"/>
      <w:r w:rsidRPr="00062164">
        <w:t xml:space="preserve"> </w:t>
      </w:r>
      <w:bookmarkEnd w:id="21"/>
      <w:r w:rsidRPr="00062164">
        <w:t>«Протез эндоваскулярный аортального клапана сердца ALCOR с системой доставки и системой сборки одноразовый стерильный по ТУ 32.50.22-011-83540797-2017» спустя 6 месяцев после операционного вмешательства.</w:t>
      </w:r>
      <w:proofErr w:type="gramEnd"/>
    </w:p>
    <w:p w:rsidR="00C5632E" w:rsidRDefault="00C5632E">
      <w:pPr>
        <w:spacing w:after="160" w:line="259" w:lineRule="auto"/>
        <w:jc w:val="left"/>
        <w:rPr>
          <w:shd w:val="clear" w:color="auto" w:fill="FFFFFF"/>
        </w:rPr>
      </w:pPr>
      <w:r>
        <w:rPr>
          <w:shd w:val="clear" w:color="auto" w:fill="FFFFFF"/>
        </w:rPr>
        <w:br w:type="page"/>
      </w:r>
    </w:p>
    <w:p w:rsidR="002E0468" w:rsidRPr="002E0468" w:rsidRDefault="002E0468" w:rsidP="002E0468">
      <w:pPr>
        <w:pStyle w:val="a7"/>
        <w:widowControl w:val="0"/>
        <w:numPr>
          <w:ilvl w:val="2"/>
          <w:numId w:val="14"/>
        </w:numPr>
        <w:suppressAutoHyphens/>
        <w:jc w:val="center"/>
        <w:rPr>
          <w:b/>
          <w:szCs w:val="28"/>
        </w:rPr>
      </w:pPr>
      <w:r w:rsidRPr="002E0468">
        <w:rPr>
          <w:b/>
          <w:szCs w:val="28"/>
        </w:rPr>
        <w:lastRenderedPageBreak/>
        <w:t>Результаты микроскопических исследований</w:t>
      </w:r>
    </w:p>
    <w:p w:rsidR="002E0468" w:rsidRDefault="002E0468" w:rsidP="002E0468">
      <w:pPr>
        <w:ind w:firstLine="708"/>
      </w:pPr>
      <w:r w:rsidRPr="00062164">
        <w:t xml:space="preserve">Микроскопические исследования были проведены согласно утвержденной «Программе </w:t>
      </w:r>
      <w:r>
        <w:t xml:space="preserve">и </w:t>
      </w:r>
      <w:r w:rsidRPr="00062164">
        <w:t xml:space="preserve">методикам исследований». </w:t>
      </w:r>
      <w:r>
        <w:t>В результате г</w:t>
      </w:r>
      <w:r w:rsidRPr="00062164">
        <w:t>истологическ</w:t>
      </w:r>
      <w:r>
        <w:t>ого</w:t>
      </w:r>
      <w:r w:rsidRPr="00062164">
        <w:t xml:space="preserve"> исследования полученных образцов не </w:t>
      </w:r>
      <w:r>
        <w:t>были выявлены</w:t>
      </w:r>
      <w:r w:rsidRPr="00062164">
        <w:t xml:space="preserve"> значимы</w:t>
      </w:r>
      <w:r>
        <w:t>е</w:t>
      </w:r>
      <w:r w:rsidRPr="00062164">
        <w:t xml:space="preserve"> воспалительны</w:t>
      </w:r>
      <w:r>
        <w:t>е</w:t>
      </w:r>
      <w:r w:rsidRPr="00062164">
        <w:t xml:space="preserve"> или дегенеративны</w:t>
      </w:r>
      <w:r>
        <w:t>е</w:t>
      </w:r>
      <w:r w:rsidRPr="00062164">
        <w:t xml:space="preserve"> изменени</w:t>
      </w:r>
      <w:r>
        <w:t>я</w:t>
      </w:r>
      <w:r w:rsidRPr="00062164">
        <w:t>, как в тканях сердца, так и во внутренних органах - мишенях.</w:t>
      </w:r>
    </w:p>
    <w:p w:rsidR="002E0468" w:rsidRDefault="002E0468" w:rsidP="002E0468">
      <w:pPr>
        <w:ind w:firstLine="708"/>
      </w:pPr>
      <w:r w:rsidRPr="00062164">
        <w:rPr>
          <w:i/>
        </w:rPr>
        <w:t>Протез клапана аорты</w:t>
      </w:r>
      <w:r w:rsidRPr="00062164">
        <w:t xml:space="preserve">. При внешнем осмотре эксплантированных клапанов аорты после их выделения из окружающих адвентициальных тканей </w:t>
      </w:r>
      <w:r>
        <w:t xml:space="preserve">была </w:t>
      </w:r>
      <w:r w:rsidRPr="00062164">
        <w:t>отмеч</w:t>
      </w:r>
      <w:r>
        <w:t>ена</w:t>
      </w:r>
      <w:r w:rsidRPr="00062164">
        <w:t>макроскопическая сохранность всех конструктивных элементов протеза. Адвентиция представля</w:t>
      </w:r>
      <w:r>
        <w:t>ла</w:t>
      </w:r>
      <w:r w:rsidRPr="00062164">
        <w:t xml:space="preserve"> собой рыхлую соединительную ткань без макроскопических з</w:t>
      </w:r>
      <w:r>
        <w:t xml:space="preserve">он уплотнений или изъязвлений.  </w:t>
      </w:r>
      <w:r w:rsidRPr="00062164">
        <w:t xml:space="preserve">Внутренняя поверхность сосудистой части протеза </w:t>
      </w:r>
      <w:r>
        <w:t>была гладкой</w:t>
      </w:r>
      <w:r w:rsidRPr="00062164">
        <w:t>, блестящ</w:t>
      </w:r>
      <w:r>
        <w:t>ей</w:t>
      </w:r>
      <w:r w:rsidRPr="00062164">
        <w:t>, без прис</w:t>
      </w:r>
      <w:r>
        <w:t>теночных тромбомасс и дефектов.</w:t>
      </w:r>
    </w:p>
    <w:p w:rsidR="002E0468" w:rsidRDefault="002E0468" w:rsidP="002E0468">
      <w:pPr>
        <w:ind w:firstLine="708"/>
      </w:pPr>
      <w:r w:rsidRPr="00062164">
        <w:t xml:space="preserve">Створки протеза </w:t>
      </w:r>
      <w:r>
        <w:t xml:space="preserve">в 5 случаях из 6 были </w:t>
      </w:r>
      <w:r w:rsidRPr="00062164">
        <w:t>незначительно уплотнены в сравнении с интактным материалом. При этом свободные края створок свободно смыка</w:t>
      </w:r>
      <w:r>
        <w:t>лись</w:t>
      </w:r>
      <w:r w:rsidRPr="00062164">
        <w:t xml:space="preserve"> без дефектов в зоне их контакта друг с другом. На створках </w:t>
      </w:r>
      <w:r>
        <w:t>были выявлены</w:t>
      </w:r>
      <w:r w:rsidRPr="00062164">
        <w:t xml:space="preserve"> единичные микрокальцинаты размером до 1 мм. В основании створок (места сшивки со стенкой протеза) отмеча</w:t>
      </w:r>
      <w:r>
        <w:t>лось</w:t>
      </w:r>
      <w:r w:rsidRPr="00062164">
        <w:t xml:space="preserve"> наличие мелких включений фрагментов модифицированных тромбомасс (красно-бурого цвета), плотно спа</w:t>
      </w:r>
      <w:r>
        <w:t xml:space="preserve">янных с подлежащим материалом. </w:t>
      </w:r>
    </w:p>
    <w:p w:rsidR="002E0468" w:rsidRDefault="002E0468" w:rsidP="002E0468">
      <w:pPr>
        <w:ind w:firstLine="708"/>
      </w:pPr>
      <w:r w:rsidRPr="00062164">
        <w:t xml:space="preserve">После разборки протеза на составные элементы было выявлено, что в местах сшивки створок со стенкой протеза структура ткани </w:t>
      </w:r>
      <w:r>
        <w:t xml:space="preserve">была </w:t>
      </w:r>
      <w:r w:rsidRPr="00062164">
        <w:t>более плотн</w:t>
      </w:r>
      <w:r>
        <w:t>ой</w:t>
      </w:r>
      <w:r w:rsidRPr="00062164">
        <w:t>, чем со стороны их свободной части за счет наличия микрокальцинатов</w:t>
      </w:r>
      <w:r>
        <w:t>.</w:t>
      </w:r>
    </w:p>
    <w:p w:rsidR="002E0468" w:rsidRPr="00062164" w:rsidRDefault="002E0468" w:rsidP="002E0468">
      <w:pPr>
        <w:ind w:firstLine="708"/>
      </w:pPr>
      <w:r>
        <w:t>При изучении</w:t>
      </w:r>
      <w:r w:rsidRPr="00062164">
        <w:t xml:space="preserve"> гистологических препарат</w:t>
      </w:r>
      <w:r>
        <w:t>ов</w:t>
      </w:r>
      <w:r w:rsidRPr="00062164">
        <w:t xml:space="preserve"> обшивки клапана </w:t>
      </w:r>
      <w:r>
        <w:t xml:space="preserve">было </w:t>
      </w:r>
      <w:r w:rsidRPr="00062164">
        <w:t xml:space="preserve">выявлено, что структура протезной ткани подвержена </w:t>
      </w:r>
      <w:proofErr w:type="gramStart"/>
      <w:r w:rsidRPr="00062164">
        <w:t>незначительному</w:t>
      </w:r>
      <w:proofErr w:type="gramEnd"/>
      <w:r w:rsidRPr="00062164">
        <w:t xml:space="preserve"> очаговому продольному разволокнению за счет межволоконного отека. Степень извитости коллагеновых волокон на препаратах </w:t>
      </w:r>
      <w:r>
        <w:t xml:space="preserve">была </w:t>
      </w:r>
      <w:r w:rsidRPr="00062164">
        <w:t>снижена. Присутств</w:t>
      </w:r>
      <w:r>
        <w:t>овали</w:t>
      </w:r>
      <w:r w:rsidRPr="00062164">
        <w:t xml:space="preserve"> малые очаговые зоны микрофрагментирования </w:t>
      </w:r>
      <w:r w:rsidRPr="00062164">
        <w:lastRenderedPageBreak/>
        <w:t xml:space="preserve">коллагеновых волокон. Нарастание неоинтимы на протезную сосудистую часть </w:t>
      </w:r>
      <w:r>
        <w:t xml:space="preserve">было выражено в </w:t>
      </w:r>
      <w:r w:rsidRPr="00062164">
        <w:t>минимально</w:t>
      </w:r>
      <w:r>
        <w:t>й степени</w:t>
      </w:r>
      <w:r w:rsidRPr="00062164">
        <w:t xml:space="preserve"> (рис </w:t>
      </w:r>
      <w:r>
        <w:t>45</w:t>
      </w:r>
      <w:r w:rsidRPr="00062164">
        <w:t>).</w:t>
      </w:r>
    </w:p>
    <w:p w:rsidR="002E0468" w:rsidRPr="00062164" w:rsidRDefault="002E0468" w:rsidP="002E0468">
      <w:pPr>
        <w:widowControl w:val="0"/>
        <w:suppressAutoHyphens/>
        <w:ind w:firstLine="720"/>
        <w:jc w:val="center"/>
        <w:rPr>
          <w:sz w:val="24"/>
          <w:szCs w:val="24"/>
        </w:rPr>
      </w:pPr>
      <w:r w:rsidRPr="00062164">
        <w:rPr>
          <w:noProof/>
          <w:sz w:val="24"/>
          <w:szCs w:val="24"/>
          <w:lang w:eastAsia="ru-RU"/>
        </w:rPr>
        <w:drawing>
          <wp:inline distT="0" distB="0" distL="0" distR="0">
            <wp:extent cx="4314825" cy="24193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842" r="42944" b="30737"/>
                    <a:stretch>
                      <a:fillRect/>
                    </a:stretch>
                  </pic:blipFill>
                  <pic:spPr bwMode="auto">
                    <a:xfrm>
                      <a:off x="0" y="0"/>
                      <a:ext cx="4314825" cy="2419350"/>
                    </a:xfrm>
                    <a:prstGeom prst="rect">
                      <a:avLst/>
                    </a:prstGeom>
                    <a:noFill/>
                    <a:ln>
                      <a:noFill/>
                    </a:ln>
                  </pic:spPr>
                </pic:pic>
              </a:graphicData>
            </a:graphic>
          </wp:inline>
        </w:drawing>
      </w:r>
    </w:p>
    <w:p w:rsidR="002E0468" w:rsidRDefault="002E0468" w:rsidP="002E0468">
      <w:pPr>
        <w:jc w:val="center"/>
      </w:pPr>
      <w:r w:rsidRPr="00062164">
        <w:t>Рис</w:t>
      </w:r>
      <w:r>
        <w:t>.</w:t>
      </w:r>
      <w:r w:rsidRPr="00062164">
        <w:t xml:space="preserve"> </w:t>
      </w:r>
      <w:r>
        <w:t>45</w:t>
      </w:r>
      <w:r w:rsidRPr="00062164">
        <w:t xml:space="preserve">. Гистологический препарат </w:t>
      </w:r>
      <w:proofErr w:type="gramStart"/>
      <w:r w:rsidRPr="00062164">
        <w:t>фрагмента</w:t>
      </w:r>
      <w:r>
        <w:t xml:space="preserve"> обшивки протеза клапана аорты</w:t>
      </w:r>
      <w:proofErr w:type="gramEnd"/>
    </w:p>
    <w:p w:rsidR="002E0468" w:rsidRPr="0041516D" w:rsidRDefault="002E0468" w:rsidP="002E0468">
      <w:pPr>
        <w:pStyle w:val="ae"/>
        <w:spacing w:line="360" w:lineRule="auto"/>
        <w:ind w:firstLine="708"/>
        <w:jc w:val="both"/>
        <w:rPr>
          <w:b w:val="0"/>
          <w:sz w:val="24"/>
          <w:szCs w:val="24"/>
        </w:rPr>
      </w:pPr>
      <w:r>
        <w:rPr>
          <w:b w:val="0"/>
          <w:sz w:val="24"/>
          <w:szCs w:val="24"/>
        </w:rPr>
        <w:t xml:space="preserve">Примечание: </w:t>
      </w:r>
      <w:r w:rsidRPr="00062164">
        <w:rPr>
          <w:b w:val="0"/>
          <w:sz w:val="24"/>
          <w:szCs w:val="24"/>
        </w:rPr>
        <w:t>Окраска гематоксилином и эозином. Увеличение ×100</w:t>
      </w:r>
    </w:p>
    <w:p w:rsidR="002E0468" w:rsidRPr="00062164" w:rsidRDefault="002E0468" w:rsidP="002E0468">
      <w:pPr>
        <w:ind w:firstLine="708"/>
      </w:pPr>
      <w:r w:rsidRPr="00062164">
        <w:t xml:space="preserve">На гистологических препаратах свободных частей створки клапана </w:t>
      </w:r>
      <w:r>
        <w:t xml:space="preserve">было </w:t>
      </w:r>
      <w:r w:rsidRPr="00062164">
        <w:t xml:space="preserve">обнаружено, что коллагеновые волокна частично утратили свою извитость, имеет место их равномерное набухание. </w:t>
      </w:r>
      <w:r>
        <w:t>Кроме того, выявлялись</w:t>
      </w:r>
      <w:r w:rsidRPr="00062164">
        <w:t xml:space="preserve"> очаги </w:t>
      </w:r>
      <w:proofErr w:type="gramStart"/>
      <w:r w:rsidRPr="00062164">
        <w:t>незначительной</w:t>
      </w:r>
      <w:proofErr w:type="gramEnd"/>
      <w:r w:rsidRPr="00062164">
        <w:t xml:space="preserve"> точечной кальцификации волокон (рис</w:t>
      </w:r>
      <w:r>
        <w:t>. 46</w:t>
      </w:r>
      <w:r w:rsidRPr="00062164">
        <w:t>).</w:t>
      </w:r>
    </w:p>
    <w:p w:rsidR="002E0468" w:rsidRPr="00062164" w:rsidRDefault="002E0468" w:rsidP="002E0468">
      <w:pPr>
        <w:widowControl w:val="0"/>
        <w:suppressAutoHyphens/>
        <w:ind w:firstLine="720"/>
        <w:jc w:val="center"/>
        <w:rPr>
          <w:sz w:val="24"/>
          <w:szCs w:val="24"/>
        </w:rPr>
      </w:pPr>
      <w:r w:rsidRPr="00062164">
        <w:rPr>
          <w:noProof/>
          <w:sz w:val="24"/>
          <w:szCs w:val="24"/>
          <w:lang w:eastAsia="ru-RU"/>
        </w:rPr>
        <w:drawing>
          <wp:inline distT="0" distB="0" distL="0" distR="0">
            <wp:extent cx="4314825" cy="29908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2990850"/>
                    </a:xfrm>
                    <a:prstGeom prst="rect">
                      <a:avLst/>
                    </a:prstGeom>
                    <a:noFill/>
                    <a:ln>
                      <a:noFill/>
                    </a:ln>
                  </pic:spPr>
                </pic:pic>
              </a:graphicData>
            </a:graphic>
          </wp:inline>
        </w:drawing>
      </w:r>
    </w:p>
    <w:p w:rsidR="002E0468" w:rsidRDefault="002E0468" w:rsidP="002E0468">
      <w:pPr>
        <w:pStyle w:val="ae"/>
        <w:spacing w:line="360" w:lineRule="auto"/>
        <w:jc w:val="center"/>
        <w:rPr>
          <w:b w:val="0"/>
          <w:sz w:val="24"/>
          <w:szCs w:val="24"/>
        </w:rPr>
      </w:pPr>
      <w:r w:rsidRPr="0041516D">
        <w:rPr>
          <w:b w:val="0"/>
          <w:sz w:val="28"/>
          <w:szCs w:val="28"/>
        </w:rPr>
        <w:t xml:space="preserve">Рис. 46. Гистологический препарат </w:t>
      </w:r>
      <w:proofErr w:type="gramStart"/>
      <w:r w:rsidRPr="0041516D">
        <w:rPr>
          <w:b w:val="0"/>
          <w:sz w:val="28"/>
          <w:szCs w:val="28"/>
        </w:rPr>
        <w:t>фрагмента</w:t>
      </w:r>
      <w:r>
        <w:rPr>
          <w:b w:val="0"/>
          <w:sz w:val="28"/>
          <w:szCs w:val="28"/>
        </w:rPr>
        <w:t xml:space="preserve"> створки протеза клапана аорты</w:t>
      </w:r>
      <w:proofErr w:type="gramEnd"/>
    </w:p>
    <w:p w:rsidR="002E0468" w:rsidRPr="00062164" w:rsidRDefault="002E0468" w:rsidP="002E0468">
      <w:pPr>
        <w:pStyle w:val="ae"/>
        <w:spacing w:line="360" w:lineRule="auto"/>
        <w:ind w:firstLine="708"/>
        <w:jc w:val="both"/>
        <w:rPr>
          <w:b w:val="0"/>
          <w:sz w:val="24"/>
          <w:szCs w:val="24"/>
        </w:rPr>
      </w:pPr>
      <w:r>
        <w:rPr>
          <w:b w:val="0"/>
          <w:sz w:val="24"/>
          <w:szCs w:val="24"/>
        </w:rPr>
        <w:t>Примечание: о</w:t>
      </w:r>
      <w:r w:rsidRPr="00062164">
        <w:rPr>
          <w:b w:val="0"/>
          <w:sz w:val="24"/>
          <w:szCs w:val="24"/>
        </w:rPr>
        <w:t>краска гематоксилином и эозином. Увеличение ×400</w:t>
      </w:r>
    </w:p>
    <w:p w:rsidR="002E0468" w:rsidRPr="00062164" w:rsidRDefault="002E0468" w:rsidP="002E0468">
      <w:pPr>
        <w:widowControl w:val="0"/>
        <w:suppressAutoHyphens/>
        <w:ind w:firstLine="720"/>
        <w:rPr>
          <w:sz w:val="24"/>
          <w:szCs w:val="24"/>
        </w:rPr>
      </w:pPr>
    </w:p>
    <w:p w:rsidR="002E0468" w:rsidRPr="00062164" w:rsidRDefault="002E0468" w:rsidP="002E0468">
      <w:pPr>
        <w:ind w:firstLine="708"/>
      </w:pPr>
      <w:r w:rsidRPr="00062164">
        <w:rPr>
          <w:i/>
        </w:rPr>
        <w:lastRenderedPageBreak/>
        <w:t>Сердце</w:t>
      </w:r>
      <w:r w:rsidRPr="00062164">
        <w:t>. Толщина стенок желудочков и предсердий соответств</w:t>
      </w:r>
      <w:r>
        <w:t xml:space="preserve">овала </w:t>
      </w:r>
      <w:r w:rsidRPr="00062164">
        <w:t xml:space="preserve">нормальным величинам. Во всех отделах сердца </w:t>
      </w:r>
      <w:r>
        <w:t xml:space="preserve">строение </w:t>
      </w:r>
      <w:r w:rsidRPr="00062164">
        <w:t>эндокард</w:t>
      </w:r>
      <w:r>
        <w:t>а</w:t>
      </w:r>
      <w:r w:rsidRPr="00062164">
        <w:t xml:space="preserve"> </w:t>
      </w:r>
      <w:r>
        <w:t>соответствовало норме</w:t>
      </w:r>
      <w:r w:rsidRPr="00062164">
        <w:t xml:space="preserve">. Эндотелиальные клетки </w:t>
      </w:r>
      <w:r>
        <w:t xml:space="preserve">были </w:t>
      </w:r>
      <w:r w:rsidRPr="00062164">
        <w:t xml:space="preserve">уплощены, всюду расположены в один слой, воспалительной инфильтрации не обнаружено. В миокарде взаимоориентация мышечных волокон </w:t>
      </w:r>
      <w:r>
        <w:t>была нормальной</w:t>
      </w:r>
      <w:r w:rsidRPr="00062164">
        <w:t>. Отмеча</w:t>
      </w:r>
      <w:r>
        <w:t>лась</w:t>
      </w:r>
      <w:r w:rsidRPr="00062164">
        <w:t xml:space="preserve"> умерено выраженная гипертрофия отдельных мышечных волокон, хорошо выражен</w:t>
      </w:r>
      <w:r>
        <w:t>ная</w:t>
      </w:r>
      <w:r w:rsidRPr="00062164">
        <w:t xml:space="preserve"> поперечная исчерченность. Признаков миоцитолиза выявлено</w:t>
      </w:r>
      <w:r w:rsidRPr="0041516D">
        <w:t xml:space="preserve"> </w:t>
      </w:r>
      <w:r w:rsidRPr="00062164">
        <w:t>не</w:t>
      </w:r>
      <w:r>
        <w:t xml:space="preserve"> было</w:t>
      </w:r>
      <w:r w:rsidRPr="00062164">
        <w:t xml:space="preserve">. Ядра кардиомиоцитов </w:t>
      </w:r>
      <w:r>
        <w:t xml:space="preserve">были </w:t>
      </w:r>
      <w:r w:rsidRPr="00062164">
        <w:t>правильной овальной формы, нормохромные</w:t>
      </w:r>
      <w:r>
        <w:t>, без признаков</w:t>
      </w:r>
      <w:r w:rsidRPr="00062164">
        <w:t xml:space="preserve"> </w:t>
      </w:r>
      <w:r>
        <w:t>п</w:t>
      </w:r>
      <w:r w:rsidRPr="00062164">
        <w:t>икноза, рексиса ядер. Соединительнотканные прослойки между мышечными волокнами, периваскулярные зоны име</w:t>
      </w:r>
      <w:r>
        <w:t>ли</w:t>
      </w:r>
      <w:r w:rsidRPr="00062164">
        <w:t xml:space="preserve"> типичное строение и толщину. Сосуды микроциркуляторного русла </w:t>
      </w:r>
      <w:r>
        <w:t xml:space="preserve">были </w:t>
      </w:r>
      <w:r w:rsidRPr="00062164">
        <w:t>нормального кровенаполнения. Эпикард име</w:t>
      </w:r>
      <w:r>
        <w:t>л</w:t>
      </w:r>
      <w:r w:rsidRPr="00062164">
        <w:t xml:space="preserve">нормальное строение без признаков воспаления и склероза (рис. </w:t>
      </w:r>
      <w:r>
        <w:t>47</w:t>
      </w:r>
      <w:r w:rsidRPr="00062164">
        <w:t>).</w:t>
      </w:r>
    </w:p>
    <w:p w:rsidR="002E0468" w:rsidRPr="00062164" w:rsidRDefault="002E0468" w:rsidP="002E0468">
      <w:pPr>
        <w:keepNext/>
        <w:tabs>
          <w:tab w:val="left" w:pos="1140"/>
        </w:tabs>
        <w:ind w:firstLine="709"/>
        <w:jc w:val="center"/>
        <w:rPr>
          <w:sz w:val="24"/>
          <w:szCs w:val="24"/>
        </w:rPr>
      </w:pPr>
      <w:r w:rsidRPr="00062164">
        <w:rPr>
          <w:noProof/>
          <w:sz w:val="24"/>
          <w:szCs w:val="24"/>
          <w:lang w:eastAsia="ru-RU"/>
        </w:rPr>
        <w:drawing>
          <wp:inline distT="0" distB="0" distL="0" distR="0">
            <wp:extent cx="4314825" cy="3419475"/>
            <wp:effectExtent l="0" t="0" r="9525" b="9525"/>
            <wp:docPr id="35" name="Рисунок 35"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4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419475"/>
                    </a:xfrm>
                    <a:prstGeom prst="rect">
                      <a:avLst/>
                    </a:prstGeom>
                    <a:noFill/>
                    <a:ln>
                      <a:noFill/>
                    </a:ln>
                  </pic:spPr>
                </pic:pic>
              </a:graphicData>
            </a:graphic>
          </wp:inline>
        </w:drawing>
      </w:r>
    </w:p>
    <w:p w:rsidR="002E0468" w:rsidRDefault="002E0468" w:rsidP="002E0468">
      <w:pPr>
        <w:jc w:val="center"/>
      </w:pPr>
      <w:r w:rsidRPr="00062164">
        <w:t>Рис</w:t>
      </w:r>
      <w:r>
        <w:t>.</w:t>
      </w:r>
      <w:r w:rsidRPr="00062164">
        <w:t xml:space="preserve"> </w:t>
      </w:r>
      <w:r>
        <w:t>47</w:t>
      </w:r>
      <w:r w:rsidRPr="00062164">
        <w:t>. Гистологический препарат миокарда левого желудочка</w:t>
      </w:r>
    </w:p>
    <w:p w:rsidR="002E0468" w:rsidRPr="0041516D" w:rsidRDefault="002E0468" w:rsidP="002E0468">
      <w:pPr>
        <w:pStyle w:val="ae"/>
        <w:spacing w:line="360" w:lineRule="auto"/>
        <w:jc w:val="both"/>
        <w:rPr>
          <w:b w:val="0"/>
          <w:sz w:val="24"/>
          <w:szCs w:val="24"/>
        </w:rPr>
      </w:pPr>
      <w:r w:rsidRPr="00062164">
        <w:rPr>
          <w:b w:val="0"/>
          <w:sz w:val="24"/>
          <w:szCs w:val="24"/>
        </w:rPr>
        <w:t xml:space="preserve"> </w:t>
      </w:r>
      <w:r>
        <w:rPr>
          <w:b w:val="0"/>
          <w:sz w:val="24"/>
          <w:szCs w:val="24"/>
        </w:rPr>
        <w:tab/>
        <w:t>Примечание: о</w:t>
      </w:r>
      <w:r w:rsidRPr="00062164">
        <w:rPr>
          <w:b w:val="0"/>
          <w:sz w:val="24"/>
          <w:szCs w:val="24"/>
        </w:rPr>
        <w:t>днонаправленные кардиомиоцитарные волокна, четкие ядра, отсутствие посторонних клеточных включений. Окраска гематоксилином и эозином. Увеличение ×400</w:t>
      </w:r>
    </w:p>
    <w:p w:rsidR="002E0468" w:rsidRPr="00062164" w:rsidRDefault="002E0468" w:rsidP="002E0468">
      <w:pPr>
        <w:ind w:firstLine="708"/>
      </w:pPr>
      <w:r w:rsidRPr="00062164">
        <w:rPr>
          <w:bCs/>
          <w:i/>
        </w:rPr>
        <w:t>Почки</w:t>
      </w:r>
      <w:r w:rsidRPr="00062164">
        <w:rPr>
          <w:bCs/>
        </w:rPr>
        <w:t>. Гистологическое строение коркового и мозгового вещества соответств</w:t>
      </w:r>
      <w:r>
        <w:rPr>
          <w:bCs/>
        </w:rPr>
        <w:t>овало</w:t>
      </w:r>
      <w:r w:rsidRPr="00062164">
        <w:rPr>
          <w:bCs/>
        </w:rPr>
        <w:t xml:space="preserve"> </w:t>
      </w:r>
      <w:proofErr w:type="gramStart"/>
      <w:r w:rsidRPr="00062164">
        <w:rPr>
          <w:bCs/>
        </w:rPr>
        <w:t>нормальному</w:t>
      </w:r>
      <w:proofErr w:type="gramEnd"/>
      <w:r w:rsidRPr="00062164">
        <w:rPr>
          <w:bCs/>
        </w:rPr>
        <w:t xml:space="preserve">. </w:t>
      </w:r>
      <w:proofErr w:type="gramStart"/>
      <w:r w:rsidRPr="00062164">
        <w:rPr>
          <w:bCs/>
        </w:rPr>
        <w:t>В корковом веществе к</w:t>
      </w:r>
      <w:r w:rsidRPr="00062164">
        <w:t xml:space="preserve">лубочки </w:t>
      </w:r>
      <w:r>
        <w:t xml:space="preserve">были </w:t>
      </w:r>
      <w:r w:rsidRPr="00062164">
        <w:lastRenderedPageBreak/>
        <w:t xml:space="preserve">обычных размеров, со слабо выраженной дольчатостью, их капилляры </w:t>
      </w:r>
      <w:r>
        <w:t xml:space="preserve">были </w:t>
      </w:r>
      <w:r w:rsidRPr="00062164">
        <w:t>умеренно кровенаполнены</w:t>
      </w:r>
      <w:r>
        <w:t>.</w:t>
      </w:r>
      <w:proofErr w:type="gramEnd"/>
      <w:r w:rsidRPr="00062164">
        <w:t xml:space="preserve"> </w:t>
      </w:r>
      <w:r>
        <w:t>Р</w:t>
      </w:r>
      <w:r w:rsidRPr="00062164">
        <w:t>ролиферации мезангиальных клеток и воспалительных изменений выявлено</w:t>
      </w:r>
      <w:r w:rsidRPr="0041516D">
        <w:t xml:space="preserve"> </w:t>
      </w:r>
      <w:r w:rsidRPr="00062164">
        <w:t>не</w:t>
      </w:r>
      <w:r>
        <w:t xml:space="preserve"> было</w:t>
      </w:r>
      <w:r w:rsidRPr="00062164">
        <w:t>. Мочевое пространство клубочков расширено</w:t>
      </w:r>
      <w:r w:rsidRPr="0041516D">
        <w:t xml:space="preserve"> </w:t>
      </w:r>
      <w:r w:rsidRPr="00062164">
        <w:t>не</w:t>
      </w:r>
      <w:r>
        <w:t xml:space="preserve"> было</w:t>
      </w:r>
      <w:r w:rsidRPr="00062164">
        <w:t>, содержимое отсутств</w:t>
      </w:r>
      <w:r>
        <w:t>овало</w:t>
      </w:r>
      <w:r w:rsidRPr="00062164">
        <w:t>. Капсула клубочков име</w:t>
      </w:r>
      <w:r>
        <w:t>ла</w:t>
      </w:r>
      <w:r w:rsidRPr="00062164">
        <w:t xml:space="preserve"> типичное строение. Просветы проксимальных извитых канальцев не расширены, эпителий кубический, каемчатый. Эпителиоциты с обильной эозинофильной, зернистой цитоплазмой и базально-расположенными округлыми ядрами. Просветы дистальных канальцев и собирательных трубок не расширены, эпителиоциты кубической формы с более светлой цитоплазмой и центрально расположенными ядрами. Признаков склероза стромы почек в корковом и мозговом веществе не выявлено. Капилляры межканальцевой сети коркового и мозгового вещества </w:t>
      </w:r>
      <w:r>
        <w:t xml:space="preserve">были </w:t>
      </w:r>
      <w:r w:rsidRPr="00062164">
        <w:t xml:space="preserve">умерено кровенаполнены. (рис. </w:t>
      </w:r>
      <w:r>
        <w:t>48</w:t>
      </w:r>
      <w:r w:rsidRPr="00062164">
        <w:t>).</w:t>
      </w:r>
    </w:p>
    <w:p w:rsidR="002E0468" w:rsidRPr="00062164" w:rsidRDefault="002E0468" w:rsidP="002E0468">
      <w:pPr>
        <w:keepNext/>
        <w:tabs>
          <w:tab w:val="left" w:pos="1140"/>
        </w:tabs>
        <w:ind w:firstLine="709"/>
        <w:jc w:val="center"/>
        <w:rPr>
          <w:sz w:val="24"/>
          <w:szCs w:val="24"/>
        </w:rPr>
      </w:pPr>
      <w:r w:rsidRPr="00062164">
        <w:rPr>
          <w:noProof/>
          <w:sz w:val="24"/>
          <w:szCs w:val="24"/>
          <w:lang w:eastAsia="ru-RU"/>
        </w:rPr>
        <w:drawing>
          <wp:inline distT="0" distB="0" distL="0" distR="0">
            <wp:extent cx="4314825" cy="3438525"/>
            <wp:effectExtent l="0" t="0" r="9525" b="9525"/>
            <wp:docPr id="38" name="Рисунок 34" descr="почки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очки 00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438525"/>
                    </a:xfrm>
                    <a:prstGeom prst="rect">
                      <a:avLst/>
                    </a:prstGeom>
                    <a:noFill/>
                    <a:ln>
                      <a:noFill/>
                    </a:ln>
                  </pic:spPr>
                </pic:pic>
              </a:graphicData>
            </a:graphic>
          </wp:inline>
        </w:drawing>
      </w:r>
    </w:p>
    <w:p w:rsidR="002E0468" w:rsidRDefault="002E0468" w:rsidP="002E0468">
      <w:pPr>
        <w:jc w:val="center"/>
      </w:pPr>
      <w:r w:rsidRPr="00062164">
        <w:t>Рис</w:t>
      </w:r>
      <w:r>
        <w:t>. 48</w:t>
      </w:r>
      <w:r w:rsidRPr="00062164">
        <w:t>. Гистологический препарат п</w:t>
      </w:r>
      <w:r>
        <w:t>очки</w:t>
      </w:r>
    </w:p>
    <w:p w:rsidR="002E0468" w:rsidRPr="0041516D" w:rsidRDefault="002E0468" w:rsidP="002E0468">
      <w:pPr>
        <w:pStyle w:val="ae"/>
        <w:spacing w:line="360" w:lineRule="auto"/>
        <w:jc w:val="both"/>
        <w:rPr>
          <w:b w:val="0"/>
          <w:sz w:val="24"/>
          <w:szCs w:val="24"/>
        </w:rPr>
      </w:pPr>
      <w:r w:rsidRPr="00062164">
        <w:rPr>
          <w:b w:val="0"/>
          <w:sz w:val="24"/>
          <w:szCs w:val="24"/>
        </w:rPr>
        <w:t xml:space="preserve"> </w:t>
      </w:r>
      <w:r>
        <w:rPr>
          <w:b w:val="0"/>
          <w:sz w:val="24"/>
          <w:szCs w:val="24"/>
        </w:rPr>
        <w:tab/>
        <w:t>Примечание: ф</w:t>
      </w:r>
      <w:r w:rsidRPr="00062164">
        <w:rPr>
          <w:b w:val="0"/>
          <w:sz w:val="24"/>
          <w:szCs w:val="24"/>
        </w:rPr>
        <w:t>рагмент коркового вещества. Окраска гематоксилином и эозином. Увеличение ×100</w:t>
      </w:r>
    </w:p>
    <w:p w:rsidR="002E0468" w:rsidRPr="00062164" w:rsidRDefault="002E0468" w:rsidP="002E0468">
      <w:pPr>
        <w:ind w:firstLine="708"/>
      </w:pPr>
      <w:r w:rsidRPr="00062164">
        <w:rPr>
          <w:bCs/>
          <w:i/>
        </w:rPr>
        <w:t>Печень</w:t>
      </w:r>
      <w:r w:rsidRPr="00062164">
        <w:rPr>
          <w:bCs/>
        </w:rPr>
        <w:t xml:space="preserve">. </w:t>
      </w:r>
      <w:r w:rsidRPr="00062164">
        <w:t xml:space="preserve">Цитоплазма гепатоцитов </w:t>
      </w:r>
      <w:r>
        <w:t xml:space="preserve">была </w:t>
      </w:r>
      <w:r w:rsidRPr="00062164">
        <w:t xml:space="preserve">зернистая, в некоторых из них </w:t>
      </w:r>
      <w:r>
        <w:t>выявлялись</w:t>
      </w:r>
      <w:r w:rsidRPr="00062164">
        <w:t xml:space="preserve"> мелкие оптически прозрачные вакуоли. Ядра гепатоцитов </w:t>
      </w:r>
      <w:r w:rsidRPr="00062164">
        <w:lastRenderedPageBreak/>
        <w:t xml:space="preserve">крупные. Пространства Диссе </w:t>
      </w:r>
      <w:r>
        <w:t xml:space="preserve">были </w:t>
      </w:r>
      <w:r w:rsidRPr="00062164">
        <w:t xml:space="preserve">незначительно расширены, кровенаполнение синусоидов и центральных вен равномерное, преимущественно умеренное. Соединительнотканные прослойки между портальными трактами </w:t>
      </w:r>
      <w:r>
        <w:t xml:space="preserve">были </w:t>
      </w:r>
      <w:r w:rsidRPr="00062164">
        <w:t>хорошо выражены (что является нормой для свиней), воспалительная инфильтрация отсутств</w:t>
      </w:r>
      <w:r>
        <w:t>овала</w:t>
      </w:r>
      <w:r w:rsidRPr="00062164">
        <w:t>. Портальные тракты име</w:t>
      </w:r>
      <w:r>
        <w:t>ли</w:t>
      </w:r>
      <w:r w:rsidRPr="00062164">
        <w:t xml:space="preserve"> обычное строение (содержа</w:t>
      </w:r>
      <w:r>
        <w:t>ли</w:t>
      </w:r>
      <w:r w:rsidRPr="00062164">
        <w:t xml:space="preserve"> артериолу, вену и желчный проток). Вблизи единичных портальных трактов между соединительнотканными прослойками определя</w:t>
      </w:r>
      <w:r>
        <w:t>лись</w:t>
      </w:r>
      <w:r w:rsidRPr="00062164">
        <w:t xml:space="preserve"> разрастания соединительной ткани, в виде очагов и прослоек, отделяющих небольшие комплексы гипертрофированных гепатоцитов от печеночной дольки. Воспалительной инфильтрации в описанных участках </w:t>
      </w:r>
      <w:r>
        <w:t>выявлено не было</w:t>
      </w:r>
      <w:r w:rsidRPr="00062164">
        <w:t xml:space="preserve">. Стенки центральных вен без патологических изменений с нормальным кровенаполнением (рис. </w:t>
      </w:r>
      <w:r>
        <w:t>49</w:t>
      </w:r>
      <w:r w:rsidRPr="00062164">
        <w:t>).</w:t>
      </w:r>
    </w:p>
    <w:p w:rsidR="002E0468" w:rsidRPr="00062164" w:rsidRDefault="002E0468" w:rsidP="002E0468">
      <w:pPr>
        <w:keepNext/>
        <w:tabs>
          <w:tab w:val="left" w:pos="1140"/>
        </w:tabs>
        <w:ind w:firstLine="709"/>
        <w:jc w:val="center"/>
        <w:rPr>
          <w:sz w:val="24"/>
          <w:szCs w:val="24"/>
        </w:rPr>
      </w:pPr>
      <w:r w:rsidRPr="00062164">
        <w:rPr>
          <w:noProof/>
          <w:sz w:val="24"/>
          <w:szCs w:val="24"/>
          <w:lang w:eastAsia="ru-RU"/>
        </w:rPr>
        <w:drawing>
          <wp:inline distT="0" distB="0" distL="0" distR="0">
            <wp:extent cx="4314825" cy="3400425"/>
            <wp:effectExtent l="0" t="0" r="9525" b="9525"/>
            <wp:docPr id="39" name="Рисунок 33"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4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400425"/>
                    </a:xfrm>
                    <a:prstGeom prst="rect">
                      <a:avLst/>
                    </a:prstGeom>
                    <a:noFill/>
                    <a:ln>
                      <a:noFill/>
                    </a:ln>
                  </pic:spPr>
                </pic:pic>
              </a:graphicData>
            </a:graphic>
          </wp:inline>
        </w:drawing>
      </w:r>
    </w:p>
    <w:p w:rsidR="002E0468" w:rsidRDefault="002E0468" w:rsidP="002E0468">
      <w:pPr>
        <w:jc w:val="center"/>
      </w:pPr>
      <w:r w:rsidRPr="00062164">
        <w:t>Рис</w:t>
      </w:r>
      <w:r>
        <w:t>.</w:t>
      </w:r>
      <w:r w:rsidRPr="00062164">
        <w:t xml:space="preserve"> </w:t>
      </w:r>
      <w:r>
        <w:t>49</w:t>
      </w:r>
      <w:r w:rsidRPr="00062164">
        <w:t>. Гистологический препарат печени</w:t>
      </w:r>
    </w:p>
    <w:p w:rsidR="002E0468" w:rsidRPr="0041516D" w:rsidRDefault="002E0468" w:rsidP="002E0468">
      <w:pPr>
        <w:pStyle w:val="ae"/>
        <w:spacing w:line="360" w:lineRule="auto"/>
        <w:ind w:firstLine="708"/>
        <w:jc w:val="both"/>
        <w:rPr>
          <w:b w:val="0"/>
          <w:sz w:val="24"/>
          <w:szCs w:val="24"/>
        </w:rPr>
      </w:pPr>
      <w:r>
        <w:rPr>
          <w:b w:val="0"/>
          <w:sz w:val="24"/>
          <w:szCs w:val="24"/>
        </w:rPr>
        <w:t>Примечание: ф</w:t>
      </w:r>
      <w:r w:rsidRPr="00062164">
        <w:rPr>
          <w:b w:val="0"/>
          <w:sz w:val="24"/>
          <w:szCs w:val="24"/>
        </w:rPr>
        <w:t>рагмент зоны центральной вены печеночной дольки. Окраска гематоксилином и эозином. Увеличение ×400</w:t>
      </w:r>
    </w:p>
    <w:p w:rsidR="002E0468" w:rsidRDefault="002E0468" w:rsidP="002E0468">
      <w:pPr>
        <w:ind w:firstLine="708"/>
      </w:pPr>
      <w:r w:rsidRPr="00062164">
        <w:rPr>
          <w:i/>
        </w:rPr>
        <w:t>Легкие</w:t>
      </w:r>
      <w:r w:rsidRPr="00062164">
        <w:t xml:space="preserve">. На микропрепаратах легкого </w:t>
      </w:r>
      <w:r>
        <w:t>было выявлено</w:t>
      </w:r>
      <w:r w:rsidRPr="00062164">
        <w:t xml:space="preserve"> частичное спадение легочной ткани, связанное с пробоподготовкой. Паренхима легких име</w:t>
      </w:r>
      <w:r>
        <w:t>ла</w:t>
      </w:r>
      <w:r w:rsidRPr="00062164">
        <w:t xml:space="preserve"> нормальное строение. Стенки альвеол не утолщены, без </w:t>
      </w:r>
      <w:r w:rsidRPr="00062164">
        <w:lastRenderedPageBreak/>
        <w:t>воспалительных инфильтратов. В просветах альвеол экссудат</w:t>
      </w:r>
      <w:r w:rsidRPr="0041516D">
        <w:t xml:space="preserve"> </w:t>
      </w:r>
      <w:r w:rsidRPr="00062164">
        <w:t>отсутств</w:t>
      </w:r>
      <w:r>
        <w:t>овал</w:t>
      </w:r>
      <w:r w:rsidRPr="00062164">
        <w:t>. Периваскулярные пространства не расширены, строение</w:t>
      </w:r>
      <w:r>
        <w:t xml:space="preserve"> стенок кровеносных сосудов соответствовало норме. Кровенаполнение сосудистого русла было в норме. Признаков отека, кровоизлияний, воспаления в паренхиме и стенках бронхиол легких обнаружено</w:t>
      </w:r>
      <w:r w:rsidRPr="0041516D">
        <w:t xml:space="preserve"> </w:t>
      </w:r>
      <w:r>
        <w:t xml:space="preserve">не было. В просветах бронхиол отмечались единичные клетки слущенного эпителия </w:t>
      </w:r>
      <w:r w:rsidRPr="0010074F">
        <w:t>(</w:t>
      </w:r>
      <w:r>
        <w:t>р</w:t>
      </w:r>
      <w:r w:rsidRPr="0010074F">
        <w:t xml:space="preserve">ис. </w:t>
      </w:r>
      <w:r>
        <w:t>50</w:t>
      </w:r>
      <w:r w:rsidRPr="0010074F">
        <w:t>).</w:t>
      </w:r>
    </w:p>
    <w:p w:rsidR="002E0468" w:rsidRDefault="002E0468" w:rsidP="002E0468">
      <w:pPr>
        <w:widowControl w:val="0"/>
        <w:suppressAutoHyphens/>
        <w:ind w:firstLine="720"/>
        <w:jc w:val="center"/>
        <w:rPr>
          <w:sz w:val="24"/>
          <w:szCs w:val="24"/>
        </w:rPr>
      </w:pPr>
      <w:r>
        <w:rPr>
          <w:noProof/>
          <w:sz w:val="24"/>
          <w:szCs w:val="24"/>
          <w:lang w:eastAsia="ru-RU"/>
        </w:rPr>
        <w:drawing>
          <wp:inline distT="0" distB="0" distL="0" distR="0">
            <wp:extent cx="4314825" cy="3419475"/>
            <wp:effectExtent l="0" t="0" r="9525" b="9525"/>
            <wp:docPr id="40" name="Рисунок 32"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35"/>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419475"/>
                    </a:xfrm>
                    <a:prstGeom prst="rect">
                      <a:avLst/>
                    </a:prstGeom>
                    <a:noFill/>
                    <a:ln>
                      <a:noFill/>
                    </a:ln>
                  </pic:spPr>
                </pic:pic>
              </a:graphicData>
            </a:graphic>
          </wp:inline>
        </w:drawing>
      </w:r>
    </w:p>
    <w:p w:rsidR="002E0468" w:rsidRDefault="002E0468" w:rsidP="002E0468">
      <w:pPr>
        <w:jc w:val="center"/>
      </w:pPr>
      <w:r w:rsidRPr="003F167A">
        <w:t>Рис</w:t>
      </w:r>
      <w:r>
        <w:t>. 50</w:t>
      </w:r>
      <w:r w:rsidRPr="003F167A">
        <w:t>.</w:t>
      </w:r>
      <w:r>
        <w:rPr>
          <w:sz w:val="22"/>
        </w:rPr>
        <w:t xml:space="preserve"> </w:t>
      </w:r>
      <w:r w:rsidRPr="003F167A">
        <w:t>Гистологический препарат легкого. Фрагмент паренхимы легкого с частично спавшимися альвеолами и типичными кровеносными сосудами</w:t>
      </w:r>
    </w:p>
    <w:p w:rsidR="002E0468" w:rsidRDefault="002E0468" w:rsidP="002E0468">
      <w:pPr>
        <w:pStyle w:val="ae"/>
        <w:spacing w:line="360" w:lineRule="auto"/>
        <w:ind w:firstLine="708"/>
        <w:jc w:val="both"/>
        <w:rPr>
          <w:b w:val="0"/>
          <w:sz w:val="22"/>
        </w:rPr>
      </w:pPr>
      <w:r w:rsidRPr="003F167A">
        <w:rPr>
          <w:b w:val="0"/>
          <w:sz w:val="24"/>
          <w:szCs w:val="24"/>
        </w:rPr>
        <w:t xml:space="preserve"> </w:t>
      </w:r>
      <w:r>
        <w:rPr>
          <w:b w:val="0"/>
          <w:sz w:val="24"/>
          <w:szCs w:val="24"/>
        </w:rPr>
        <w:t>Примечание: о</w:t>
      </w:r>
      <w:r w:rsidRPr="003F167A">
        <w:rPr>
          <w:b w:val="0"/>
          <w:sz w:val="24"/>
          <w:szCs w:val="24"/>
        </w:rPr>
        <w:t>краска гематоксилином и эозином. Увеличение ×100</w:t>
      </w:r>
    </w:p>
    <w:p w:rsidR="002E0468" w:rsidRPr="00D43AEC" w:rsidRDefault="002E0468" w:rsidP="002E0468">
      <w:pPr>
        <w:ind w:firstLine="708"/>
      </w:pPr>
      <w:r>
        <w:t>Таким образом, проведенное патоморфологическое исследование позволяет прийти к выводу об отсутствии патологических изменений со стороны жизненно-важных органов экспериментальных животных, что, в свою очередь, свидетельствует об отсутствии отрицательных эффектов проведенного оперативного вмешательства.</w:t>
      </w:r>
    </w:p>
    <w:p w:rsidR="002E0468" w:rsidRDefault="002E0468" w:rsidP="002E0468"/>
    <w:p w:rsidR="00E31A49" w:rsidRDefault="00E31A49">
      <w:pPr>
        <w:spacing w:after="160" w:line="259" w:lineRule="auto"/>
        <w:jc w:val="left"/>
        <w:rPr>
          <w:shd w:val="clear" w:color="auto" w:fill="FFFFFF"/>
        </w:rPr>
      </w:pPr>
      <w:r>
        <w:rPr>
          <w:shd w:val="clear" w:color="auto" w:fill="FFFFFF"/>
        </w:rPr>
        <w:br w:type="page"/>
      </w:r>
    </w:p>
    <w:p w:rsidR="00E31A49" w:rsidRDefault="00E31A49" w:rsidP="00E31A49">
      <w:pPr>
        <w:jc w:val="center"/>
        <w:rPr>
          <w:b/>
          <w:shd w:val="clear" w:color="auto" w:fill="FFFFFF"/>
        </w:rPr>
      </w:pPr>
      <w:r w:rsidRPr="00340E55">
        <w:rPr>
          <w:b/>
        </w:rPr>
        <w:lastRenderedPageBreak/>
        <w:t xml:space="preserve">Глава 3. Результаты эндоваскулярной имплантации комбинированного </w:t>
      </w:r>
      <w:r w:rsidRPr="00340E55">
        <w:rPr>
          <w:b/>
          <w:shd w:val="clear" w:color="auto" w:fill="FFFFFF"/>
        </w:rPr>
        <w:t>протеза клапана из нитинола и перикарда животных для лечения аортальной недостаточности</w:t>
      </w:r>
    </w:p>
    <w:p w:rsidR="00E31A49" w:rsidRPr="00351986" w:rsidRDefault="00E31A49" w:rsidP="00E31A49">
      <w:pPr>
        <w:ind w:left="567"/>
        <w:jc w:val="center"/>
        <w:rPr>
          <w:b/>
          <w:szCs w:val="24"/>
        </w:rPr>
      </w:pPr>
      <w:r>
        <w:rPr>
          <w:b/>
          <w:shd w:val="clear" w:color="auto" w:fill="FFFFFF"/>
        </w:rPr>
        <w:t xml:space="preserve">3.1. </w:t>
      </w:r>
      <w:r>
        <w:rPr>
          <w:b/>
          <w:szCs w:val="24"/>
        </w:rPr>
        <w:t>Результаты эхокардиографических исследований экспериментальных животных и измерений параметров внутрисердечной гемодинамики</w:t>
      </w:r>
    </w:p>
    <w:p w:rsidR="00E31A49" w:rsidRPr="001222E8" w:rsidRDefault="00E31A49" w:rsidP="00E31A49">
      <w:pPr>
        <w:ind w:firstLine="708"/>
      </w:pPr>
      <w:r w:rsidRPr="00340E55">
        <w:t xml:space="preserve">С целью </w:t>
      </w:r>
      <w:r>
        <w:t>изучения изменений параметров внутрисердечной гемодинамики прооперированных животных была проведена серия эхокардиографических исследований – в предоперационном периоде, а также через 3 и 6 мес. после проведенной имплантации клапана. Результаты исходного эхокардиографического обследования наглядно представлены на рисунках 18-22.</w:t>
      </w:r>
    </w:p>
    <w:p w:rsidR="00E31A49" w:rsidRPr="003950BC" w:rsidRDefault="00E31A49" w:rsidP="00E31A49">
      <w:pPr>
        <w:keepNext/>
        <w:tabs>
          <w:tab w:val="left" w:pos="0"/>
        </w:tabs>
        <w:jc w:val="center"/>
        <w:rPr>
          <w:sz w:val="24"/>
          <w:szCs w:val="24"/>
        </w:rPr>
      </w:pPr>
      <w:r w:rsidRPr="002D4810">
        <w:rPr>
          <w:noProof/>
          <w:sz w:val="24"/>
          <w:szCs w:val="24"/>
          <w:lang w:eastAsia="ru-RU"/>
        </w:rPr>
        <w:drawing>
          <wp:inline distT="0" distB="0" distL="0" distR="0">
            <wp:extent cx="4695825" cy="2952750"/>
            <wp:effectExtent l="0" t="0" r="9525" b="0"/>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5825" cy="2952750"/>
                    </a:xfrm>
                    <a:prstGeom prst="rect">
                      <a:avLst/>
                    </a:prstGeom>
                    <a:noFill/>
                    <a:ln>
                      <a:noFill/>
                    </a:ln>
                  </pic:spPr>
                </pic:pic>
              </a:graphicData>
            </a:graphic>
          </wp:inline>
        </w:drawing>
      </w:r>
    </w:p>
    <w:p w:rsidR="00E31A49" w:rsidRPr="003950BC" w:rsidRDefault="00E31A49" w:rsidP="00E31A49">
      <w:pPr>
        <w:jc w:val="center"/>
      </w:pPr>
      <w:bookmarkStart w:id="22" w:name="_Hlk6310909"/>
      <w:r w:rsidRPr="00D178E3">
        <w:t>Рис</w:t>
      </w:r>
      <w:r>
        <w:t>.</w:t>
      </w:r>
      <w:fldSimple w:instr=" SEQ Рис. \* ARABIC ">
        <w:r>
          <w:rPr>
            <w:noProof/>
          </w:rPr>
          <w:t>18</w:t>
        </w:r>
      </w:fldSimple>
      <w:r w:rsidRPr="00D178E3">
        <w:t xml:space="preserve">. </w:t>
      </w:r>
      <w:r>
        <w:t xml:space="preserve">УЗИ сердца в предоперационном периоде. </w:t>
      </w:r>
      <w:r w:rsidRPr="00D178E3">
        <w:t>Правая парастернальная позиция, с</w:t>
      </w:r>
      <w:r>
        <w:t>рез</w:t>
      </w:r>
      <w:r w:rsidRPr="00D178E3">
        <w:t xml:space="preserve"> по длинной оси левого желудочка.</w:t>
      </w:r>
      <w:bookmarkEnd w:id="22"/>
    </w:p>
    <w:p w:rsidR="00E31A49" w:rsidRPr="001222E8" w:rsidRDefault="00E31A49" w:rsidP="00E31A49">
      <w:pPr>
        <w:widowControl w:val="0"/>
        <w:suppressAutoHyphens/>
        <w:ind w:firstLine="708"/>
        <w:rPr>
          <w:sz w:val="24"/>
          <w:szCs w:val="24"/>
        </w:rPr>
      </w:pPr>
      <w:r w:rsidRPr="001222E8">
        <w:rPr>
          <w:sz w:val="24"/>
          <w:szCs w:val="24"/>
        </w:rPr>
        <w:t>Примечание на рисунках 18-22: АО – аорта, АОК – аортальный клапан, ЛС – легочный ствол, ЛЖ – левый желудочек, ПЖ – правый желудочек, ЛП – левое предсердие, ПП – правое предсердие, МПП – межпредсердная перегородка.</w:t>
      </w:r>
    </w:p>
    <w:p w:rsidR="00E31A49" w:rsidRPr="001222E8" w:rsidRDefault="00E31A49" w:rsidP="00E31A49">
      <w:pPr>
        <w:widowControl w:val="0"/>
        <w:suppressAutoHyphens/>
        <w:rPr>
          <w:sz w:val="24"/>
          <w:szCs w:val="24"/>
        </w:rPr>
      </w:pPr>
    </w:p>
    <w:p w:rsidR="00E31A49" w:rsidRPr="003950BC" w:rsidRDefault="00E31A49" w:rsidP="00E31A49">
      <w:pPr>
        <w:keepNext/>
        <w:tabs>
          <w:tab w:val="left" w:pos="1140"/>
        </w:tabs>
        <w:jc w:val="center"/>
        <w:rPr>
          <w:sz w:val="24"/>
          <w:szCs w:val="24"/>
        </w:rPr>
      </w:pPr>
      <w:r w:rsidRPr="003950BC">
        <w:rPr>
          <w:noProof/>
          <w:sz w:val="24"/>
          <w:szCs w:val="24"/>
          <w:lang w:eastAsia="ru-RU"/>
        </w:rPr>
        <w:lastRenderedPageBreak/>
        <w:drawing>
          <wp:inline distT="0" distB="0" distL="0" distR="0">
            <wp:extent cx="4724400" cy="2943225"/>
            <wp:effectExtent l="0" t="0" r="0" b="9525"/>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2943225"/>
                    </a:xfrm>
                    <a:prstGeom prst="rect">
                      <a:avLst/>
                    </a:prstGeom>
                    <a:noFill/>
                    <a:ln>
                      <a:noFill/>
                    </a:ln>
                  </pic:spPr>
                </pic:pic>
              </a:graphicData>
            </a:graphic>
          </wp:inline>
        </w:drawing>
      </w:r>
    </w:p>
    <w:p w:rsidR="00E31A49" w:rsidRPr="00D178E3" w:rsidRDefault="00E31A49" w:rsidP="00E31A49">
      <w:pPr>
        <w:jc w:val="center"/>
      </w:pPr>
      <w:bookmarkStart w:id="23" w:name="_Hlk6315713"/>
      <w:bookmarkStart w:id="24" w:name="_Hlk6311088"/>
      <w:r w:rsidRPr="00D178E3">
        <w:t>Рис</w:t>
      </w:r>
      <w:r>
        <w:t>.</w:t>
      </w:r>
      <w:fldSimple w:instr=" SEQ Рис. \* ARABIC ">
        <w:r>
          <w:rPr>
            <w:noProof/>
          </w:rPr>
          <w:t>19</w:t>
        </w:r>
      </w:fldSimple>
      <w:r w:rsidRPr="00420414">
        <w:t>.</w:t>
      </w:r>
      <w:r w:rsidRPr="00D178E3">
        <w:t xml:space="preserve"> </w:t>
      </w:r>
      <w:r>
        <w:t xml:space="preserve">УЗИ сердца в предоперационном периоде. </w:t>
      </w:r>
      <w:r w:rsidRPr="00D178E3">
        <w:t>Левая парастернальная позиция, с</w:t>
      </w:r>
      <w:r>
        <w:t>рез</w:t>
      </w:r>
      <w:r w:rsidRPr="00D178E3">
        <w:t xml:space="preserve"> по короткой оси на уровне аортального клапана.</w:t>
      </w:r>
      <w:bookmarkEnd w:id="23"/>
    </w:p>
    <w:bookmarkEnd w:id="24"/>
    <w:p w:rsidR="00E31A49" w:rsidRPr="003950BC" w:rsidRDefault="00E31A49" w:rsidP="00E31A49">
      <w:pPr>
        <w:rPr>
          <w:sz w:val="24"/>
          <w:szCs w:val="24"/>
        </w:rPr>
      </w:pPr>
    </w:p>
    <w:p w:rsidR="00E31A49" w:rsidRPr="003950BC" w:rsidRDefault="00E31A49" w:rsidP="00E31A49">
      <w:pPr>
        <w:keepNext/>
        <w:tabs>
          <w:tab w:val="left" w:pos="1140"/>
        </w:tabs>
        <w:jc w:val="center"/>
        <w:rPr>
          <w:sz w:val="24"/>
          <w:szCs w:val="24"/>
        </w:rPr>
      </w:pPr>
      <w:r w:rsidRPr="003950BC">
        <w:rPr>
          <w:noProof/>
          <w:sz w:val="24"/>
          <w:szCs w:val="24"/>
          <w:lang w:eastAsia="ru-RU"/>
        </w:rPr>
        <w:drawing>
          <wp:inline distT="0" distB="0" distL="0" distR="0">
            <wp:extent cx="4838700" cy="3076575"/>
            <wp:effectExtent l="0" t="0" r="0" b="9525"/>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0" cy="3076575"/>
                    </a:xfrm>
                    <a:prstGeom prst="rect">
                      <a:avLst/>
                    </a:prstGeom>
                    <a:noFill/>
                    <a:ln>
                      <a:noFill/>
                    </a:ln>
                  </pic:spPr>
                </pic:pic>
              </a:graphicData>
            </a:graphic>
          </wp:inline>
        </w:drawing>
      </w:r>
    </w:p>
    <w:p w:rsidR="00E31A49" w:rsidRPr="00ED51B9" w:rsidRDefault="00E31A49" w:rsidP="00E31A49">
      <w:pPr>
        <w:jc w:val="center"/>
      </w:pPr>
      <w:bookmarkStart w:id="25" w:name="_Hlk6315815"/>
      <w:bookmarkStart w:id="26" w:name="_Hlk6315774"/>
      <w:r w:rsidRPr="00ED51B9">
        <w:t>Рис</w:t>
      </w:r>
      <w:r>
        <w:t xml:space="preserve">. </w:t>
      </w:r>
      <w:fldSimple w:instr=" SEQ Рис. \* ARABIC ">
        <w:r>
          <w:rPr>
            <w:noProof/>
          </w:rPr>
          <w:t>20</w:t>
        </w:r>
      </w:fldSimple>
      <w:r w:rsidRPr="00ED51B9">
        <w:t xml:space="preserve">. </w:t>
      </w:r>
      <w:r>
        <w:t xml:space="preserve">УЗИ сердца в предоперационном периоде. </w:t>
      </w:r>
      <w:r w:rsidRPr="00ED51B9">
        <w:t>Левая парастернальная позиция, с</w:t>
      </w:r>
      <w:r>
        <w:t>рез</w:t>
      </w:r>
      <w:r w:rsidRPr="00ED51B9">
        <w:t xml:space="preserve"> по короткой оси на уровне аортального клапана.</w:t>
      </w:r>
      <w:bookmarkEnd w:id="25"/>
    </w:p>
    <w:bookmarkEnd w:id="26"/>
    <w:p w:rsidR="00E31A49" w:rsidRPr="003950BC" w:rsidRDefault="00E31A49" w:rsidP="00E31A49">
      <w:pPr>
        <w:jc w:val="center"/>
      </w:pPr>
    </w:p>
    <w:p w:rsidR="00E31A49" w:rsidRPr="003950BC" w:rsidRDefault="00E31A49" w:rsidP="00E31A49">
      <w:pPr>
        <w:keepNext/>
        <w:tabs>
          <w:tab w:val="left" w:pos="1140"/>
        </w:tabs>
        <w:jc w:val="center"/>
        <w:rPr>
          <w:sz w:val="24"/>
          <w:szCs w:val="24"/>
        </w:rPr>
      </w:pPr>
      <w:r w:rsidRPr="003950BC">
        <w:rPr>
          <w:noProof/>
          <w:sz w:val="24"/>
          <w:szCs w:val="24"/>
          <w:lang w:eastAsia="ru-RU"/>
        </w:rPr>
        <w:lastRenderedPageBreak/>
        <w:drawing>
          <wp:inline distT="0" distB="0" distL="0" distR="0">
            <wp:extent cx="4514850" cy="2962275"/>
            <wp:effectExtent l="0" t="0" r="0" b="9525"/>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4850" cy="2962275"/>
                    </a:xfrm>
                    <a:prstGeom prst="rect">
                      <a:avLst/>
                    </a:prstGeom>
                    <a:noFill/>
                    <a:ln>
                      <a:noFill/>
                    </a:ln>
                  </pic:spPr>
                </pic:pic>
              </a:graphicData>
            </a:graphic>
          </wp:inline>
        </w:drawing>
      </w:r>
    </w:p>
    <w:p w:rsidR="00E31A49" w:rsidRPr="00DE1D87" w:rsidRDefault="00E31A49" w:rsidP="00E31A49">
      <w:pPr>
        <w:jc w:val="center"/>
      </w:pPr>
      <w:r w:rsidRPr="00DE1D87">
        <w:t>Рис</w:t>
      </w:r>
      <w:r>
        <w:t>.</w:t>
      </w:r>
      <w:r w:rsidRPr="00DE1D87">
        <w:t xml:space="preserve"> </w:t>
      </w:r>
      <w:fldSimple w:instr=" SEQ Рис. \* ARABIC ">
        <w:r>
          <w:rPr>
            <w:noProof/>
          </w:rPr>
          <w:t>21</w:t>
        </w:r>
      </w:fldSimple>
      <w:r>
        <w:t xml:space="preserve">. УЗИ сердца в предоперационном периоде. </w:t>
      </w:r>
      <w:r w:rsidRPr="00DE1D87">
        <w:t>Левая парастернальная позиция, цветовое допплеровское картирование потока в ЛС.</w:t>
      </w:r>
    </w:p>
    <w:p w:rsidR="00E31A49" w:rsidRPr="003950BC" w:rsidRDefault="00E31A49" w:rsidP="00E31A49">
      <w:pPr>
        <w:rPr>
          <w:sz w:val="24"/>
          <w:szCs w:val="24"/>
        </w:rPr>
      </w:pPr>
    </w:p>
    <w:p w:rsidR="00E31A49" w:rsidRPr="003950BC" w:rsidRDefault="00E31A49" w:rsidP="00E31A49">
      <w:pPr>
        <w:keepNext/>
        <w:tabs>
          <w:tab w:val="left" w:pos="1140"/>
        </w:tabs>
        <w:jc w:val="center"/>
        <w:rPr>
          <w:sz w:val="24"/>
          <w:szCs w:val="24"/>
        </w:rPr>
      </w:pPr>
      <w:r w:rsidRPr="003950BC">
        <w:rPr>
          <w:noProof/>
          <w:sz w:val="24"/>
          <w:szCs w:val="24"/>
          <w:lang w:eastAsia="ru-RU"/>
        </w:rPr>
        <w:drawing>
          <wp:inline distT="0" distB="0" distL="0" distR="0">
            <wp:extent cx="4610100" cy="3038475"/>
            <wp:effectExtent l="0" t="0" r="0" b="9525"/>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0100" cy="3038475"/>
                    </a:xfrm>
                    <a:prstGeom prst="rect">
                      <a:avLst/>
                    </a:prstGeom>
                    <a:noFill/>
                    <a:ln>
                      <a:noFill/>
                    </a:ln>
                  </pic:spPr>
                </pic:pic>
              </a:graphicData>
            </a:graphic>
          </wp:inline>
        </w:drawing>
      </w:r>
    </w:p>
    <w:p w:rsidR="00E31A49" w:rsidRPr="00E26484" w:rsidRDefault="00E31A49" w:rsidP="00E31A49">
      <w:pPr>
        <w:jc w:val="center"/>
      </w:pPr>
      <w:r w:rsidRPr="00E26484">
        <w:t>Рис</w:t>
      </w:r>
      <w:r>
        <w:t>.</w:t>
      </w:r>
      <w:r w:rsidRPr="00E26484">
        <w:t xml:space="preserve"> </w:t>
      </w:r>
      <w:fldSimple w:instr=" SEQ Рис. \* ARABIC ">
        <w:r>
          <w:rPr>
            <w:noProof/>
          </w:rPr>
          <w:t>22</w:t>
        </w:r>
      </w:fldSimple>
      <w:r>
        <w:t xml:space="preserve"> в предоперационном периоде. УЗИ сердца. </w:t>
      </w:r>
      <w:r w:rsidRPr="00E26484">
        <w:t>Допплеровский спектр кровотока в легочном стволе</w:t>
      </w:r>
    </w:p>
    <w:p w:rsidR="00E31A49" w:rsidRDefault="00E31A49" w:rsidP="00E31A49">
      <w:pPr>
        <w:ind w:firstLine="708"/>
      </w:pPr>
      <w:r>
        <w:t>В результате проведенного анализа показателей внутрисердечной гемодинамики было установлено, что исходно конечно-диастолический объем (КДО) составлял в выборке 120 мл (113,5</w:t>
      </w:r>
      <w:proofErr w:type="gramStart"/>
      <w:r>
        <w:t xml:space="preserve"> ;</w:t>
      </w:r>
      <w:proofErr w:type="gramEnd"/>
      <w:r>
        <w:t xml:space="preserve"> 123,5) с вариациями индивидуальных значений в пределах от 110 до 125 мл. Через 3 мес. </w:t>
      </w:r>
      <w:r>
        <w:lastRenderedPageBreak/>
        <w:t>показатель КДО в выборке несколько снизился – до 119 мл (110,5</w:t>
      </w:r>
      <w:proofErr w:type="gramStart"/>
      <w:r>
        <w:t xml:space="preserve"> ;</w:t>
      </w:r>
      <w:proofErr w:type="gramEnd"/>
      <w:r>
        <w:t xml:space="preserve"> 123,75). Через 6 мес. после оперативного вмешательства было зафиксировано, напротив, некоторое возрастание КДО – до 123,5 мл (114,5</w:t>
      </w:r>
      <w:proofErr w:type="gramStart"/>
      <w:r>
        <w:t xml:space="preserve"> ;</w:t>
      </w:r>
      <w:proofErr w:type="gramEnd"/>
      <w:r>
        <w:t xml:space="preserve"> 125,0). Динамика КДО в выборке в периоперационном периоде наглядно отражена на рисунке 23.</w:t>
      </w:r>
    </w:p>
    <w:p w:rsidR="00E31A49" w:rsidRDefault="00E31A49" w:rsidP="00E31A49">
      <w:pPr>
        <w:jc w:val="center"/>
      </w:pPr>
      <w:r>
        <w:rPr>
          <w:noProof/>
          <w:lang w:eastAsia="ru-RU"/>
        </w:rPr>
        <w:drawing>
          <wp:inline distT="0" distB="0" distL="0" distR="0">
            <wp:extent cx="5210175" cy="3171825"/>
            <wp:effectExtent l="0" t="0" r="9525" b="9525"/>
            <wp:docPr id="4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E31A49" w:rsidRDefault="00E31A49" w:rsidP="00E31A49">
      <w:pPr>
        <w:jc w:val="center"/>
      </w:pPr>
      <w:r>
        <w:t>Рис. 23. Динамика конечно-диастолического объема сердца в периоперационном периоде</w:t>
      </w:r>
    </w:p>
    <w:p w:rsidR="00E31A49" w:rsidRDefault="00E31A49" w:rsidP="00E31A49">
      <w:pPr>
        <w:ind w:firstLine="708"/>
      </w:pPr>
      <w:r>
        <w:t>Однако</w:t>
      </w:r>
      <w:proofErr w:type="gramStart"/>
      <w:r>
        <w:t>,</w:t>
      </w:r>
      <w:proofErr w:type="gramEnd"/>
      <w:r>
        <w:t xml:space="preserve"> при статистической обработке данных было выявлено, что все выявленные изменения КДО были в зоне незначимости, т.е. достоверных изменений данного показателя не происходило (табл. 7).</w:t>
      </w:r>
    </w:p>
    <w:p w:rsidR="00E31A49" w:rsidRDefault="00E31A49" w:rsidP="00E31A49">
      <w:pPr>
        <w:ind w:firstLine="708"/>
        <w:jc w:val="right"/>
      </w:pPr>
      <w:r>
        <w:t>Таблица 7</w:t>
      </w:r>
    </w:p>
    <w:p w:rsidR="00E31A49" w:rsidRDefault="00E31A49" w:rsidP="00E31A49">
      <w:pPr>
        <w:ind w:firstLine="708"/>
        <w:jc w:val="center"/>
      </w:pPr>
      <w:r>
        <w:t>Статистическая оценка достоверности динамики КДО в периоперационном периоде</w:t>
      </w:r>
    </w:p>
    <w:tbl>
      <w:tblPr>
        <w:tblStyle w:val="aa"/>
        <w:tblW w:w="0" w:type="auto"/>
        <w:tblLook w:val="04A0"/>
      </w:tblPr>
      <w:tblGrid>
        <w:gridCol w:w="2263"/>
        <w:gridCol w:w="2360"/>
        <w:gridCol w:w="2361"/>
        <w:gridCol w:w="2361"/>
      </w:tblGrid>
      <w:tr w:rsidR="00E31A49" w:rsidRPr="007150F4" w:rsidTr="00844CB7">
        <w:tc>
          <w:tcPr>
            <w:tcW w:w="2263" w:type="dxa"/>
            <w:vMerge w:val="restart"/>
          </w:tcPr>
          <w:p w:rsidR="00E31A49" w:rsidRPr="007150F4" w:rsidRDefault="00E31A49" w:rsidP="00844CB7">
            <w:pPr>
              <w:jc w:val="center"/>
              <w:rPr>
                <w:sz w:val="24"/>
                <w:szCs w:val="24"/>
              </w:rPr>
            </w:pPr>
            <w:r w:rsidRPr="007150F4">
              <w:rPr>
                <w:sz w:val="24"/>
                <w:szCs w:val="24"/>
              </w:rPr>
              <w:t>Животные</w:t>
            </w:r>
          </w:p>
        </w:tc>
        <w:tc>
          <w:tcPr>
            <w:tcW w:w="7082" w:type="dxa"/>
            <w:gridSpan w:val="3"/>
          </w:tcPr>
          <w:p w:rsidR="00E31A49" w:rsidRPr="007150F4" w:rsidRDefault="00E31A49" w:rsidP="00844CB7">
            <w:pPr>
              <w:jc w:val="center"/>
              <w:rPr>
                <w:sz w:val="24"/>
                <w:szCs w:val="24"/>
              </w:rPr>
            </w:pPr>
            <w:r w:rsidRPr="007150F4">
              <w:rPr>
                <w:sz w:val="24"/>
                <w:szCs w:val="24"/>
              </w:rPr>
              <w:t>КДО, мл</w:t>
            </w:r>
          </w:p>
        </w:tc>
      </w:tr>
      <w:tr w:rsidR="00E31A49" w:rsidRPr="007150F4" w:rsidTr="00844CB7">
        <w:tc>
          <w:tcPr>
            <w:tcW w:w="2263" w:type="dxa"/>
            <w:vMerge/>
          </w:tcPr>
          <w:p w:rsidR="00E31A49" w:rsidRPr="007150F4" w:rsidRDefault="00E31A49" w:rsidP="00844CB7">
            <w:pPr>
              <w:jc w:val="center"/>
              <w:rPr>
                <w:sz w:val="24"/>
                <w:szCs w:val="24"/>
              </w:rPr>
            </w:pPr>
          </w:p>
        </w:tc>
        <w:tc>
          <w:tcPr>
            <w:tcW w:w="2360" w:type="dxa"/>
          </w:tcPr>
          <w:p w:rsidR="00E31A49" w:rsidRPr="007150F4" w:rsidRDefault="00E31A49" w:rsidP="00844CB7">
            <w:pPr>
              <w:jc w:val="center"/>
              <w:rPr>
                <w:sz w:val="24"/>
                <w:szCs w:val="24"/>
              </w:rPr>
            </w:pPr>
            <w:r>
              <w:rPr>
                <w:sz w:val="24"/>
                <w:szCs w:val="24"/>
              </w:rPr>
              <w:t>1</w:t>
            </w:r>
          </w:p>
        </w:tc>
        <w:tc>
          <w:tcPr>
            <w:tcW w:w="2361" w:type="dxa"/>
          </w:tcPr>
          <w:p w:rsidR="00E31A49" w:rsidRPr="007150F4" w:rsidRDefault="00E31A49" w:rsidP="00844CB7">
            <w:pPr>
              <w:jc w:val="center"/>
              <w:rPr>
                <w:sz w:val="24"/>
                <w:szCs w:val="24"/>
              </w:rPr>
            </w:pPr>
            <w:r>
              <w:rPr>
                <w:sz w:val="24"/>
                <w:szCs w:val="24"/>
              </w:rPr>
              <w:t>2</w:t>
            </w:r>
          </w:p>
        </w:tc>
        <w:tc>
          <w:tcPr>
            <w:tcW w:w="2361" w:type="dxa"/>
          </w:tcPr>
          <w:p w:rsidR="00E31A49" w:rsidRPr="007150F4" w:rsidRDefault="00E31A49" w:rsidP="00844CB7">
            <w:pPr>
              <w:jc w:val="center"/>
              <w:rPr>
                <w:sz w:val="24"/>
                <w:szCs w:val="24"/>
              </w:rPr>
            </w:pPr>
            <w:r>
              <w:rPr>
                <w:sz w:val="24"/>
                <w:szCs w:val="24"/>
              </w:rPr>
              <w:t>3</w:t>
            </w:r>
          </w:p>
        </w:tc>
      </w:tr>
      <w:tr w:rsidR="00E31A49" w:rsidRPr="007150F4" w:rsidTr="00844CB7">
        <w:tc>
          <w:tcPr>
            <w:tcW w:w="2263" w:type="dxa"/>
            <w:vMerge/>
          </w:tcPr>
          <w:p w:rsidR="00E31A49" w:rsidRPr="007150F4" w:rsidRDefault="00E31A49" w:rsidP="00844CB7">
            <w:pPr>
              <w:jc w:val="center"/>
              <w:rPr>
                <w:sz w:val="24"/>
                <w:szCs w:val="24"/>
              </w:rPr>
            </w:pPr>
          </w:p>
        </w:tc>
        <w:tc>
          <w:tcPr>
            <w:tcW w:w="2360" w:type="dxa"/>
          </w:tcPr>
          <w:p w:rsidR="00E31A49" w:rsidRPr="007150F4" w:rsidRDefault="00E31A49" w:rsidP="00844CB7">
            <w:pPr>
              <w:jc w:val="center"/>
              <w:rPr>
                <w:sz w:val="24"/>
                <w:szCs w:val="24"/>
              </w:rPr>
            </w:pPr>
            <w:r w:rsidRPr="007150F4">
              <w:rPr>
                <w:sz w:val="24"/>
                <w:szCs w:val="24"/>
              </w:rPr>
              <w:t>исходно</w:t>
            </w:r>
          </w:p>
        </w:tc>
        <w:tc>
          <w:tcPr>
            <w:tcW w:w="2361" w:type="dxa"/>
          </w:tcPr>
          <w:p w:rsidR="00E31A49" w:rsidRPr="007150F4" w:rsidRDefault="00E31A49" w:rsidP="00844CB7">
            <w:pPr>
              <w:jc w:val="center"/>
              <w:rPr>
                <w:sz w:val="24"/>
                <w:szCs w:val="24"/>
              </w:rPr>
            </w:pPr>
            <w:r w:rsidRPr="007150F4">
              <w:rPr>
                <w:sz w:val="24"/>
                <w:szCs w:val="24"/>
              </w:rPr>
              <w:t xml:space="preserve">Через 3 </w:t>
            </w:r>
            <w:proofErr w:type="gramStart"/>
            <w:r w:rsidRPr="007150F4">
              <w:rPr>
                <w:sz w:val="24"/>
                <w:szCs w:val="24"/>
              </w:rPr>
              <w:t>мес</w:t>
            </w:r>
            <w:proofErr w:type="gramEnd"/>
          </w:p>
        </w:tc>
        <w:tc>
          <w:tcPr>
            <w:tcW w:w="2361" w:type="dxa"/>
          </w:tcPr>
          <w:p w:rsidR="00E31A49" w:rsidRPr="007150F4" w:rsidRDefault="00E31A49" w:rsidP="00844CB7">
            <w:pPr>
              <w:jc w:val="center"/>
              <w:rPr>
                <w:sz w:val="24"/>
                <w:szCs w:val="24"/>
              </w:rPr>
            </w:pPr>
            <w:r w:rsidRPr="007150F4">
              <w:rPr>
                <w:sz w:val="24"/>
                <w:szCs w:val="24"/>
              </w:rPr>
              <w:t>Через 6 мес.</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sidRPr="007150F4">
              <w:rPr>
                <w:sz w:val="24"/>
                <w:szCs w:val="24"/>
              </w:rPr>
              <w:t>Животное 1</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118</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120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122</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sidRPr="007150F4">
              <w:rPr>
                <w:sz w:val="24"/>
                <w:szCs w:val="24"/>
              </w:rPr>
              <w:t>Животное 2</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112</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107</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112</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sidRPr="007150F4">
              <w:rPr>
                <w:sz w:val="24"/>
                <w:szCs w:val="24"/>
              </w:rPr>
              <w:t>Животное 3</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125</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125</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125</w:t>
            </w:r>
          </w:p>
        </w:tc>
      </w:tr>
      <w:tr w:rsidR="00E31A49" w:rsidRPr="007150F4" w:rsidTr="00844CB7">
        <w:tc>
          <w:tcPr>
            <w:tcW w:w="9345" w:type="dxa"/>
            <w:gridSpan w:val="4"/>
            <w:vAlign w:val="center"/>
          </w:tcPr>
          <w:p w:rsidR="00E31A49" w:rsidRPr="00BE5BC5" w:rsidRDefault="00E31A49" w:rsidP="00844CB7">
            <w:pPr>
              <w:widowControl w:val="0"/>
              <w:suppressAutoHyphens/>
              <w:jc w:val="right"/>
              <w:rPr>
                <w:sz w:val="24"/>
                <w:szCs w:val="24"/>
              </w:rPr>
            </w:pPr>
            <w:r>
              <w:rPr>
                <w:sz w:val="24"/>
                <w:szCs w:val="24"/>
              </w:rPr>
              <w:lastRenderedPageBreak/>
              <w:t>Продолжение табл. 7</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sidRPr="007150F4">
              <w:rPr>
                <w:sz w:val="24"/>
                <w:szCs w:val="24"/>
              </w:rPr>
              <w:t>Животное 4</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122</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118</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125</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sidRPr="007150F4">
              <w:rPr>
                <w:sz w:val="24"/>
                <w:szCs w:val="24"/>
              </w:rPr>
              <w:t>Животное 5</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110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108</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110</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sidRPr="007150F4">
              <w:rPr>
                <w:sz w:val="24"/>
                <w:szCs w:val="24"/>
              </w:rPr>
              <w:t>Животное 6</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124</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128</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132</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Pr>
                <w:sz w:val="24"/>
                <w:szCs w:val="24"/>
              </w:rPr>
              <w:t>Р</w:t>
            </w:r>
            <w:r w:rsidRPr="007150F4">
              <w:rPr>
                <w:sz w:val="24"/>
                <w:szCs w:val="24"/>
                <w:vertAlign w:val="subscript"/>
              </w:rPr>
              <w:t>1-2</w:t>
            </w:r>
          </w:p>
        </w:tc>
        <w:tc>
          <w:tcPr>
            <w:tcW w:w="7082" w:type="dxa"/>
            <w:gridSpan w:val="3"/>
            <w:vAlign w:val="center"/>
          </w:tcPr>
          <w:p w:rsidR="00E31A49" w:rsidRPr="00BE5BC5" w:rsidRDefault="00E31A49" w:rsidP="00844CB7">
            <w:pPr>
              <w:widowControl w:val="0"/>
              <w:suppressAutoHyphens/>
              <w:jc w:val="center"/>
              <w:rPr>
                <w:sz w:val="24"/>
                <w:szCs w:val="24"/>
              </w:rPr>
            </w:pPr>
            <w:r>
              <w:rPr>
                <w:rFonts w:cs="Times New Roman"/>
                <w:sz w:val="24"/>
                <w:szCs w:val="24"/>
              </w:rPr>
              <w:t>&gt;</w:t>
            </w:r>
            <w:r>
              <w:rPr>
                <w:sz w:val="24"/>
                <w:szCs w:val="24"/>
              </w:rPr>
              <w:t>0,05 (Тэмп.=5, Т кр.=0) зона незначимости</w:t>
            </w:r>
          </w:p>
        </w:tc>
      </w:tr>
      <w:tr w:rsidR="00E31A49" w:rsidRPr="007150F4" w:rsidTr="00844CB7">
        <w:tc>
          <w:tcPr>
            <w:tcW w:w="2263" w:type="dxa"/>
            <w:vAlign w:val="center"/>
          </w:tcPr>
          <w:p w:rsidR="00E31A49" w:rsidRDefault="00E31A49" w:rsidP="00844CB7">
            <w:pPr>
              <w:widowControl w:val="0"/>
              <w:suppressAutoHyphens/>
              <w:rPr>
                <w:sz w:val="24"/>
                <w:szCs w:val="24"/>
              </w:rPr>
            </w:pPr>
            <w:r>
              <w:rPr>
                <w:sz w:val="24"/>
                <w:szCs w:val="24"/>
              </w:rPr>
              <w:t>Р</w:t>
            </w:r>
            <w:r w:rsidRPr="007150F4">
              <w:rPr>
                <w:sz w:val="24"/>
                <w:szCs w:val="24"/>
                <w:vertAlign w:val="subscript"/>
              </w:rPr>
              <w:t>1-3</w:t>
            </w:r>
          </w:p>
        </w:tc>
        <w:tc>
          <w:tcPr>
            <w:tcW w:w="7082" w:type="dxa"/>
            <w:gridSpan w:val="3"/>
            <w:vAlign w:val="center"/>
          </w:tcPr>
          <w:p w:rsidR="00E31A49" w:rsidRDefault="00E31A49" w:rsidP="00844CB7">
            <w:pPr>
              <w:widowControl w:val="0"/>
              <w:suppressAutoHyphens/>
              <w:jc w:val="center"/>
              <w:rPr>
                <w:rFonts w:cs="Times New Roman"/>
                <w:sz w:val="24"/>
                <w:szCs w:val="24"/>
              </w:rPr>
            </w:pPr>
            <w:r>
              <w:rPr>
                <w:rFonts w:cs="Times New Roman"/>
                <w:sz w:val="24"/>
                <w:szCs w:val="24"/>
              </w:rPr>
              <w:t>&gt;</w:t>
            </w:r>
            <w:r>
              <w:rPr>
                <w:sz w:val="24"/>
                <w:szCs w:val="24"/>
              </w:rPr>
              <w:t>0,05 (Тэмп.=15, Т кр.=2) зона незначимости</w:t>
            </w:r>
          </w:p>
        </w:tc>
      </w:tr>
      <w:tr w:rsidR="00E31A49" w:rsidRPr="007150F4" w:rsidTr="00844CB7">
        <w:tc>
          <w:tcPr>
            <w:tcW w:w="2263" w:type="dxa"/>
            <w:vAlign w:val="center"/>
          </w:tcPr>
          <w:p w:rsidR="00E31A49" w:rsidRDefault="00E31A49" w:rsidP="00844CB7">
            <w:pPr>
              <w:widowControl w:val="0"/>
              <w:suppressAutoHyphens/>
              <w:rPr>
                <w:sz w:val="24"/>
                <w:szCs w:val="24"/>
              </w:rPr>
            </w:pPr>
            <w:r>
              <w:rPr>
                <w:sz w:val="24"/>
                <w:szCs w:val="24"/>
              </w:rPr>
              <w:t>Р</w:t>
            </w:r>
            <w:r w:rsidRPr="007150F4">
              <w:rPr>
                <w:sz w:val="24"/>
                <w:szCs w:val="24"/>
                <w:vertAlign w:val="subscript"/>
              </w:rPr>
              <w:t>2-3</w:t>
            </w:r>
          </w:p>
        </w:tc>
        <w:tc>
          <w:tcPr>
            <w:tcW w:w="7082" w:type="dxa"/>
            <w:gridSpan w:val="3"/>
            <w:vAlign w:val="center"/>
          </w:tcPr>
          <w:p w:rsidR="00E31A49" w:rsidRDefault="00E31A49" w:rsidP="00844CB7">
            <w:pPr>
              <w:widowControl w:val="0"/>
              <w:suppressAutoHyphens/>
              <w:jc w:val="center"/>
              <w:rPr>
                <w:rFonts w:cs="Times New Roman"/>
                <w:sz w:val="24"/>
                <w:szCs w:val="24"/>
              </w:rPr>
            </w:pPr>
            <w:r>
              <w:rPr>
                <w:rFonts w:cs="Times New Roman"/>
                <w:sz w:val="24"/>
                <w:szCs w:val="24"/>
              </w:rPr>
              <w:t>&gt;</w:t>
            </w:r>
            <w:r>
              <w:rPr>
                <w:sz w:val="24"/>
                <w:szCs w:val="24"/>
              </w:rPr>
              <w:t>0,05 (Тэмп.=1, Т кр.=2) зона неопределенности</w:t>
            </w:r>
          </w:p>
        </w:tc>
      </w:tr>
    </w:tbl>
    <w:p w:rsidR="00E31A49" w:rsidRDefault="00E31A49" w:rsidP="00E31A49">
      <w:pPr>
        <w:ind w:firstLine="708"/>
        <w:jc w:val="center"/>
      </w:pPr>
    </w:p>
    <w:p w:rsidR="00E31A49" w:rsidRDefault="00E31A49" w:rsidP="00E31A49">
      <w:pPr>
        <w:ind w:firstLine="708"/>
      </w:pPr>
      <w:r>
        <w:t>Изучение динамики конечно-систолического объема сердца экспериментальных животных в результате перенесенного оперативного вмешательства позволило выявить, что исходно в выборке этот показатель составил 50,5 мл (50,0</w:t>
      </w:r>
      <w:proofErr w:type="gramStart"/>
      <w:r>
        <w:t xml:space="preserve"> ;</w:t>
      </w:r>
      <w:proofErr w:type="gramEnd"/>
      <w:r>
        <w:t xml:space="preserve"> 51,75), и через 3 мес. он практически не изменился – 50,0 мл (47,75 ; 50,75). Через 6 мес. наблюдения показатель КСО в группе составил 52,0 мл (50,25</w:t>
      </w:r>
      <w:proofErr w:type="gramStart"/>
      <w:r>
        <w:t xml:space="preserve"> ;</w:t>
      </w:r>
      <w:proofErr w:type="gramEnd"/>
      <w:r>
        <w:t xml:space="preserve"> 53,0), т.е. несколько возрос, что хорошо видно на рисунке 24.</w:t>
      </w:r>
    </w:p>
    <w:p w:rsidR="00E31A49" w:rsidRDefault="00E31A49" w:rsidP="00E31A49">
      <w:pPr>
        <w:jc w:val="center"/>
      </w:pPr>
      <w:r>
        <w:rPr>
          <w:noProof/>
          <w:lang w:eastAsia="ru-RU"/>
        </w:rPr>
        <w:drawing>
          <wp:inline distT="0" distB="0" distL="0" distR="0">
            <wp:extent cx="5514975" cy="3381375"/>
            <wp:effectExtent l="0" t="0" r="9525" b="9525"/>
            <wp:docPr id="4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E31A49" w:rsidRDefault="00E31A49" w:rsidP="00E31A49">
      <w:pPr>
        <w:jc w:val="center"/>
      </w:pPr>
      <w:r>
        <w:t>Рис. 24. Динамика конечно-систолического объема сердца в периоперационном периоде</w:t>
      </w:r>
    </w:p>
    <w:p w:rsidR="00E31A49" w:rsidRDefault="00E31A49" w:rsidP="00E31A49">
      <w:r>
        <w:lastRenderedPageBreak/>
        <w:t>При статистической обработке данных было выявлено, что все изменения КСО были либо в пределах зоны незначимости, либо в зоне неопределенности (табл. 8)</w:t>
      </w:r>
    </w:p>
    <w:p w:rsidR="00E31A49" w:rsidRDefault="00E31A49" w:rsidP="00E31A49">
      <w:pPr>
        <w:jc w:val="right"/>
      </w:pPr>
      <w:r>
        <w:t>Таблица 8</w:t>
      </w:r>
    </w:p>
    <w:p w:rsidR="00E31A49" w:rsidRDefault="00E31A49" w:rsidP="00E31A49">
      <w:pPr>
        <w:ind w:firstLine="708"/>
        <w:jc w:val="center"/>
      </w:pPr>
      <w:r>
        <w:t>Статистическая оценка достоверности динамики КСО в периоперационном периоде</w:t>
      </w:r>
    </w:p>
    <w:tbl>
      <w:tblPr>
        <w:tblStyle w:val="aa"/>
        <w:tblW w:w="0" w:type="auto"/>
        <w:tblLook w:val="04A0"/>
      </w:tblPr>
      <w:tblGrid>
        <w:gridCol w:w="2263"/>
        <w:gridCol w:w="2360"/>
        <w:gridCol w:w="2361"/>
        <w:gridCol w:w="2361"/>
      </w:tblGrid>
      <w:tr w:rsidR="00E31A49" w:rsidRPr="007150F4" w:rsidTr="00844CB7">
        <w:tc>
          <w:tcPr>
            <w:tcW w:w="2263" w:type="dxa"/>
            <w:vMerge w:val="restart"/>
          </w:tcPr>
          <w:p w:rsidR="00E31A49" w:rsidRPr="007150F4" w:rsidRDefault="00E31A49" w:rsidP="00844CB7">
            <w:pPr>
              <w:jc w:val="center"/>
              <w:rPr>
                <w:sz w:val="24"/>
                <w:szCs w:val="24"/>
              </w:rPr>
            </w:pPr>
            <w:r w:rsidRPr="007150F4">
              <w:rPr>
                <w:sz w:val="24"/>
                <w:szCs w:val="24"/>
              </w:rPr>
              <w:t>Животные</w:t>
            </w:r>
          </w:p>
        </w:tc>
        <w:tc>
          <w:tcPr>
            <w:tcW w:w="7082" w:type="dxa"/>
            <w:gridSpan w:val="3"/>
          </w:tcPr>
          <w:p w:rsidR="00E31A49" w:rsidRPr="007150F4" w:rsidRDefault="00E31A49" w:rsidP="00844CB7">
            <w:pPr>
              <w:jc w:val="center"/>
              <w:rPr>
                <w:sz w:val="24"/>
                <w:szCs w:val="24"/>
              </w:rPr>
            </w:pPr>
            <w:r w:rsidRPr="007150F4">
              <w:rPr>
                <w:sz w:val="24"/>
                <w:szCs w:val="24"/>
              </w:rPr>
              <w:t>К</w:t>
            </w:r>
            <w:r>
              <w:rPr>
                <w:sz w:val="24"/>
                <w:szCs w:val="24"/>
              </w:rPr>
              <w:t>С</w:t>
            </w:r>
            <w:r w:rsidRPr="007150F4">
              <w:rPr>
                <w:sz w:val="24"/>
                <w:szCs w:val="24"/>
              </w:rPr>
              <w:t>О, мл</w:t>
            </w:r>
          </w:p>
        </w:tc>
      </w:tr>
      <w:tr w:rsidR="00E31A49" w:rsidRPr="007150F4" w:rsidTr="00844CB7">
        <w:tc>
          <w:tcPr>
            <w:tcW w:w="2263" w:type="dxa"/>
            <w:vMerge/>
          </w:tcPr>
          <w:p w:rsidR="00E31A49" w:rsidRPr="007150F4" w:rsidRDefault="00E31A49" w:rsidP="00844CB7">
            <w:pPr>
              <w:jc w:val="center"/>
              <w:rPr>
                <w:sz w:val="24"/>
                <w:szCs w:val="24"/>
              </w:rPr>
            </w:pPr>
          </w:p>
        </w:tc>
        <w:tc>
          <w:tcPr>
            <w:tcW w:w="2360" w:type="dxa"/>
          </w:tcPr>
          <w:p w:rsidR="00E31A49" w:rsidRPr="007150F4" w:rsidRDefault="00E31A49" w:rsidP="00844CB7">
            <w:pPr>
              <w:jc w:val="center"/>
              <w:rPr>
                <w:sz w:val="24"/>
                <w:szCs w:val="24"/>
              </w:rPr>
            </w:pPr>
            <w:r>
              <w:rPr>
                <w:sz w:val="24"/>
                <w:szCs w:val="24"/>
              </w:rPr>
              <w:t>1</w:t>
            </w:r>
          </w:p>
        </w:tc>
        <w:tc>
          <w:tcPr>
            <w:tcW w:w="2361" w:type="dxa"/>
          </w:tcPr>
          <w:p w:rsidR="00E31A49" w:rsidRPr="007150F4" w:rsidRDefault="00E31A49" w:rsidP="00844CB7">
            <w:pPr>
              <w:jc w:val="center"/>
              <w:rPr>
                <w:sz w:val="24"/>
                <w:szCs w:val="24"/>
              </w:rPr>
            </w:pPr>
            <w:r>
              <w:rPr>
                <w:sz w:val="24"/>
                <w:szCs w:val="24"/>
              </w:rPr>
              <w:t>2</w:t>
            </w:r>
          </w:p>
        </w:tc>
        <w:tc>
          <w:tcPr>
            <w:tcW w:w="2361" w:type="dxa"/>
          </w:tcPr>
          <w:p w:rsidR="00E31A49" w:rsidRPr="007150F4" w:rsidRDefault="00E31A49" w:rsidP="00844CB7">
            <w:pPr>
              <w:jc w:val="center"/>
              <w:rPr>
                <w:sz w:val="24"/>
                <w:szCs w:val="24"/>
              </w:rPr>
            </w:pPr>
            <w:r>
              <w:rPr>
                <w:sz w:val="24"/>
                <w:szCs w:val="24"/>
              </w:rPr>
              <w:t>3</w:t>
            </w:r>
          </w:p>
        </w:tc>
      </w:tr>
      <w:tr w:rsidR="00E31A49" w:rsidRPr="007150F4" w:rsidTr="00844CB7">
        <w:tc>
          <w:tcPr>
            <w:tcW w:w="2263" w:type="dxa"/>
            <w:vMerge/>
          </w:tcPr>
          <w:p w:rsidR="00E31A49" w:rsidRPr="007150F4" w:rsidRDefault="00E31A49" w:rsidP="00844CB7">
            <w:pPr>
              <w:jc w:val="center"/>
              <w:rPr>
                <w:sz w:val="24"/>
                <w:szCs w:val="24"/>
              </w:rPr>
            </w:pPr>
          </w:p>
        </w:tc>
        <w:tc>
          <w:tcPr>
            <w:tcW w:w="2360" w:type="dxa"/>
          </w:tcPr>
          <w:p w:rsidR="00E31A49" w:rsidRPr="007150F4" w:rsidRDefault="00E31A49" w:rsidP="00844CB7">
            <w:pPr>
              <w:jc w:val="center"/>
              <w:rPr>
                <w:sz w:val="24"/>
                <w:szCs w:val="24"/>
              </w:rPr>
            </w:pPr>
            <w:r w:rsidRPr="007150F4">
              <w:rPr>
                <w:sz w:val="24"/>
                <w:szCs w:val="24"/>
              </w:rPr>
              <w:t>исходно</w:t>
            </w:r>
          </w:p>
        </w:tc>
        <w:tc>
          <w:tcPr>
            <w:tcW w:w="2361" w:type="dxa"/>
          </w:tcPr>
          <w:p w:rsidR="00E31A49" w:rsidRPr="007150F4" w:rsidRDefault="00E31A49" w:rsidP="00844CB7">
            <w:pPr>
              <w:jc w:val="center"/>
              <w:rPr>
                <w:sz w:val="24"/>
                <w:szCs w:val="24"/>
              </w:rPr>
            </w:pPr>
            <w:r w:rsidRPr="007150F4">
              <w:rPr>
                <w:sz w:val="24"/>
                <w:szCs w:val="24"/>
              </w:rPr>
              <w:t xml:space="preserve">Через 3 </w:t>
            </w:r>
            <w:proofErr w:type="gramStart"/>
            <w:r w:rsidRPr="007150F4">
              <w:rPr>
                <w:sz w:val="24"/>
                <w:szCs w:val="24"/>
              </w:rPr>
              <w:t>мес</w:t>
            </w:r>
            <w:proofErr w:type="gramEnd"/>
          </w:p>
        </w:tc>
        <w:tc>
          <w:tcPr>
            <w:tcW w:w="2361" w:type="dxa"/>
          </w:tcPr>
          <w:p w:rsidR="00E31A49" w:rsidRPr="007150F4" w:rsidRDefault="00E31A49" w:rsidP="00844CB7">
            <w:pPr>
              <w:jc w:val="center"/>
              <w:rPr>
                <w:sz w:val="24"/>
                <w:szCs w:val="24"/>
              </w:rPr>
            </w:pPr>
            <w:r w:rsidRPr="007150F4">
              <w:rPr>
                <w:sz w:val="24"/>
                <w:szCs w:val="24"/>
              </w:rPr>
              <w:t>Через 6 мес.</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1</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52</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51</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53</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2</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47</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50</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3</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52</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52</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51</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4</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51</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53</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5</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47</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44</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47</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6</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55</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Pr>
                <w:sz w:val="24"/>
                <w:szCs w:val="24"/>
              </w:rPr>
              <w:t>Р</w:t>
            </w:r>
            <w:r w:rsidRPr="007150F4">
              <w:rPr>
                <w:sz w:val="24"/>
                <w:szCs w:val="24"/>
                <w:vertAlign w:val="subscript"/>
              </w:rPr>
              <w:t>1-2</w:t>
            </w:r>
          </w:p>
        </w:tc>
        <w:tc>
          <w:tcPr>
            <w:tcW w:w="7082" w:type="dxa"/>
            <w:gridSpan w:val="3"/>
            <w:vAlign w:val="center"/>
          </w:tcPr>
          <w:p w:rsidR="00E31A49" w:rsidRPr="00BE5BC5" w:rsidRDefault="00E31A49" w:rsidP="00844CB7">
            <w:pPr>
              <w:widowControl w:val="0"/>
              <w:suppressAutoHyphens/>
              <w:jc w:val="center"/>
              <w:rPr>
                <w:sz w:val="24"/>
                <w:szCs w:val="24"/>
              </w:rPr>
            </w:pPr>
            <w:r>
              <w:rPr>
                <w:rFonts w:cs="Times New Roman"/>
                <w:sz w:val="24"/>
                <w:szCs w:val="24"/>
              </w:rPr>
              <w:t>&gt;</w:t>
            </w:r>
            <w:r>
              <w:rPr>
                <w:sz w:val="24"/>
                <w:szCs w:val="24"/>
              </w:rPr>
              <w:t>0,05 (Тэмп.=3, Т кр.=2) зона незначимости</w:t>
            </w:r>
          </w:p>
        </w:tc>
      </w:tr>
      <w:tr w:rsidR="00E31A49" w:rsidRPr="007150F4" w:rsidTr="00844CB7">
        <w:tc>
          <w:tcPr>
            <w:tcW w:w="2263" w:type="dxa"/>
            <w:vAlign w:val="center"/>
          </w:tcPr>
          <w:p w:rsidR="00E31A49" w:rsidRDefault="00E31A49" w:rsidP="00844CB7">
            <w:pPr>
              <w:widowControl w:val="0"/>
              <w:suppressAutoHyphens/>
              <w:rPr>
                <w:sz w:val="24"/>
                <w:szCs w:val="24"/>
              </w:rPr>
            </w:pPr>
            <w:r>
              <w:rPr>
                <w:sz w:val="24"/>
                <w:szCs w:val="24"/>
              </w:rPr>
              <w:t>Р</w:t>
            </w:r>
            <w:r w:rsidRPr="007150F4">
              <w:rPr>
                <w:sz w:val="24"/>
                <w:szCs w:val="24"/>
                <w:vertAlign w:val="subscript"/>
              </w:rPr>
              <w:t>1-3</w:t>
            </w:r>
          </w:p>
        </w:tc>
        <w:tc>
          <w:tcPr>
            <w:tcW w:w="7082" w:type="dxa"/>
            <w:gridSpan w:val="3"/>
            <w:vAlign w:val="center"/>
          </w:tcPr>
          <w:p w:rsidR="00E31A49" w:rsidRDefault="00E31A49" w:rsidP="00844CB7">
            <w:pPr>
              <w:widowControl w:val="0"/>
              <w:suppressAutoHyphens/>
              <w:jc w:val="center"/>
              <w:rPr>
                <w:rFonts w:cs="Times New Roman"/>
                <w:sz w:val="24"/>
                <w:szCs w:val="24"/>
              </w:rPr>
            </w:pPr>
            <w:r>
              <w:rPr>
                <w:rFonts w:cs="Times New Roman"/>
                <w:sz w:val="24"/>
                <w:szCs w:val="24"/>
              </w:rPr>
              <w:t>&gt;</w:t>
            </w:r>
            <w:r>
              <w:rPr>
                <w:sz w:val="24"/>
                <w:szCs w:val="24"/>
              </w:rPr>
              <w:t>0,05 (Тэмп.=3,5, Т кр.=2) зона незначимости</w:t>
            </w:r>
          </w:p>
        </w:tc>
      </w:tr>
      <w:tr w:rsidR="00E31A49" w:rsidRPr="007150F4" w:rsidTr="00844CB7">
        <w:tc>
          <w:tcPr>
            <w:tcW w:w="2263" w:type="dxa"/>
            <w:vAlign w:val="center"/>
          </w:tcPr>
          <w:p w:rsidR="00E31A49" w:rsidRDefault="00E31A49" w:rsidP="00844CB7">
            <w:pPr>
              <w:widowControl w:val="0"/>
              <w:suppressAutoHyphens/>
              <w:rPr>
                <w:sz w:val="24"/>
                <w:szCs w:val="24"/>
              </w:rPr>
            </w:pPr>
            <w:r>
              <w:rPr>
                <w:sz w:val="24"/>
                <w:szCs w:val="24"/>
              </w:rPr>
              <w:t>Р</w:t>
            </w:r>
            <w:r w:rsidRPr="007150F4">
              <w:rPr>
                <w:sz w:val="24"/>
                <w:szCs w:val="24"/>
                <w:vertAlign w:val="subscript"/>
              </w:rPr>
              <w:t>2-3</w:t>
            </w:r>
          </w:p>
        </w:tc>
        <w:tc>
          <w:tcPr>
            <w:tcW w:w="7082" w:type="dxa"/>
            <w:gridSpan w:val="3"/>
            <w:vAlign w:val="center"/>
          </w:tcPr>
          <w:p w:rsidR="00E31A49" w:rsidRDefault="00E31A49" w:rsidP="00844CB7">
            <w:pPr>
              <w:widowControl w:val="0"/>
              <w:suppressAutoHyphens/>
              <w:jc w:val="center"/>
              <w:rPr>
                <w:rFonts w:cs="Times New Roman"/>
                <w:sz w:val="24"/>
                <w:szCs w:val="24"/>
              </w:rPr>
            </w:pPr>
            <w:r>
              <w:rPr>
                <w:rFonts w:cs="Times New Roman"/>
                <w:sz w:val="24"/>
                <w:szCs w:val="24"/>
              </w:rPr>
              <w:t>&gt;</w:t>
            </w:r>
            <w:r>
              <w:rPr>
                <w:sz w:val="24"/>
                <w:szCs w:val="24"/>
              </w:rPr>
              <w:t>0,05 (Тэмп.=1, Т кр.=2) зона неопределенности</w:t>
            </w:r>
          </w:p>
        </w:tc>
      </w:tr>
    </w:tbl>
    <w:p w:rsidR="00E31A49" w:rsidRDefault="00E31A49" w:rsidP="00E31A49"/>
    <w:p w:rsidR="00E31A49" w:rsidRDefault="00E31A49" w:rsidP="00E31A49">
      <w:pPr>
        <w:ind w:firstLine="708"/>
      </w:pPr>
      <w:r>
        <w:t>Из данных таблицы следует, что достоверная динамика КСО в периоперационном периоде отсутствовала.</w:t>
      </w:r>
    </w:p>
    <w:p w:rsidR="00E31A49" w:rsidRDefault="00E31A49" w:rsidP="00E31A49">
      <w:pPr>
        <w:ind w:firstLine="708"/>
      </w:pPr>
      <w:r>
        <w:t>Изучения динамики фракции выброса (ФВ) у оперированных животных позволило установить, что до операции этот показатель составил в выборке 57,0% (56,25</w:t>
      </w:r>
      <w:proofErr w:type="gramStart"/>
      <w:r>
        <w:t xml:space="preserve"> ;</w:t>
      </w:r>
      <w:proofErr w:type="gramEnd"/>
      <w:r>
        <w:t xml:space="preserve"> 58,5). Через 3 мес. наблюдения было отмечено некоторое снижение фракции выброса – до 55,0% (55,0</w:t>
      </w:r>
      <w:proofErr w:type="gramStart"/>
      <w:r>
        <w:t xml:space="preserve"> ;</w:t>
      </w:r>
      <w:proofErr w:type="gramEnd"/>
      <w:r>
        <w:t xml:space="preserve"> 55,75), а на сроке катамнеза 6 мес. динамика данного показателя отсутствовала – он составил так же 55,0% (53,5 ; 55,75) (рис. 25).</w:t>
      </w:r>
    </w:p>
    <w:p w:rsidR="00E31A49" w:rsidRDefault="00E31A49" w:rsidP="00E31A49">
      <w:pPr>
        <w:ind w:firstLine="708"/>
      </w:pPr>
    </w:p>
    <w:p w:rsidR="00E31A49" w:rsidRDefault="00E31A49" w:rsidP="00E31A49">
      <w:pPr>
        <w:ind w:firstLine="708"/>
      </w:pPr>
    </w:p>
    <w:p w:rsidR="00E31A49" w:rsidRDefault="00E31A49" w:rsidP="00E31A49">
      <w:pPr>
        <w:ind w:firstLine="708"/>
      </w:pPr>
    </w:p>
    <w:p w:rsidR="00E31A49" w:rsidRDefault="00E31A49" w:rsidP="00E31A49">
      <w:pPr>
        <w:ind w:firstLine="708"/>
      </w:pPr>
    </w:p>
    <w:p w:rsidR="00E31A49" w:rsidRDefault="00E31A49" w:rsidP="00E31A49">
      <w:pPr>
        <w:jc w:val="center"/>
      </w:pPr>
      <w:r>
        <w:rPr>
          <w:noProof/>
          <w:lang w:eastAsia="ru-RU"/>
        </w:rPr>
        <w:lastRenderedPageBreak/>
        <w:drawing>
          <wp:inline distT="0" distB="0" distL="0" distR="0">
            <wp:extent cx="5010150" cy="3152775"/>
            <wp:effectExtent l="0" t="0" r="0" b="9525"/>
            <wp:docPr id="4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31A49" w:rsidRDefault="00E31A49" w:rsidP="00E31A49">
      <w:pPr>
        <w:jc w:val="center"/>
      </w:pPr>
      <w:r>
        <w:t>Рис. 25. Динамика фракции выброса в периоперационном периоде</w:t>
      </w:r>
    </w:p>
    <w:p w:rsidR="00E31A49" w:rsidRDefault="00E31A49" w:rsidP="00E31A49">
      <w:pPr>
        <w:ind w:firstLine="708"/>
      </w:pPr>
      <w:r>
        <w:t>Статистическая обработка полученных данных выявила, что выявленные различия ФВ находились преимущественно в зоне неопределенности, т.е. достоверная динамика данного показателя в периоперационном периоде отсутствовала (табл. 9)</w:t>
      </w:r>
    </w:p>
    <w:p w:rsidR="00E31A49" w:rsidRDefault="00E31A49" w:rsidP="00E31A49">
      <w:pPr>
        <w:jc w:val="right"/>
      </w:pPr>
      <w:r>
        <w:t>Таблица 9</w:t>
      </w:r>
    </w:p>
    <w:p w:rsidR="00E31A49" w:rsidRDefault="00E31A49" w:rsidP="00E31A49">
      <w:pPr>
        <w:ind w:firstLine="708"/>
        <w:jc w:val="center"/>
      </w:pPr>
      <w:r>
        <w:t>Статистическая оценка достоверности динамики ФВ в периоперационном периоде</w:t>
      </w:r>
    </w:p>
    <w:tbl>
      <w:tblPr>
        <w:tblStyle w:val="aa"/>
        <w:tblW w:w="0" w:type="auto"/>
        <w:tblLook w:val="04A0"/>
      </w:tblPr>
      <w:tblGrid>
        <w:gridCol w:w="2263"/>
        <w:gridCol w:w="2360"/>
        <w:gridCol w:w="2361"/>
        <w:gridCol w:w="2361"/>
      </w:tblGrid>
      <w:tr w:rsidR="00E31A49" w:rsidRPr="007150F4" w:rsidTr="00844CB7">
        <w:tc>
          <w:tcPr>
            <w:tcW w:w="2263" w:type="dxa"/>
            <w:vMerge w:val="restart"/>
          </w:tcPr>
          <w:p w:rsidR="00E31A49" w:rsidRPr="007150F4" w:rsidRDefault="00E31A49" w:rsidP="00844CB7">
            <w:pPr>
              <w:jc w:val="center"/>
              <w:rPr>
                <w:sz w:val="24"/>
                <w:szCs w:val="24"/>
              </w:rPr>
            </w:pPr>
            <w:r w:rsidRPr="007150F4">
              <w:rPr>
                <w:sz w:val="24"/>
                <w:szCs w:val="24"/>
              </w:rPr>
              <w:t>Животные</w:t>
            </w:r>
          </w:p>
        </w:tc>
        <w:tc>
          <w:tcPr>
            <w:tcW w:w="7082" w:type="dxa"/>
            <w:gridSpan w:val="3"/>
          </w:tcPr>
          <w:p w:rsidR="00E31A49" w:rsidRPr="007150F4" w:rsidRDefault="00E31A49" w:rsidP="00844CB7">
            <w:pPr>
              <w:jc w:val="center"/>
              <w:rPr>
                <w:sz w:val="24"/>
                <w:szCs w:val="24"/>
              </w:rPr>
            </w:pPr>
            <w:r>
              <w:rPr>
                <w:sz w:val="24"/>
                <w:szCs w:val="24"/>
              </w:rPr>
              <w:t>ФВ, %</w:t>
            </w:r>
          </w:p>
        </w:tc>
      </w:tr>
      <w:tr w:rsidR="00E31A49" w:rsidRPr="007150F4" w:rsidTr="00844CB7">
        <w:tc>
          <w:tcPr>
            <w:tcW w:w="2263" w:type="dxa"/>
            <w:vMerge/>
          </w:tcPr>
          <w:p w:rsidR="00E31A49" w:rsidRPr="007150F4" w:rsidRDefault="00E31A49" w:rsidP="00844CB7">
            <w:pPr>
              <w:jc w:val="center"/>
              <w:rPr>
                <w:sz w:val="24"/>
                <w:szCs w:val="24"/>
              </w:rPr>
            </w:pPr>
          </w:p>
        </w:tc>
        <w:tc>
          <w:tcPr>
            <w:tcW w:w="2360" w:type="dxa"/>
          </w:tcPr>
          <w:p w:rsidR="00E31A49" w:rsidRPr="007150F4" w:rsidRDefault="00E31A49" w:rsidP="00844CB7">
            <w:pPr>
              <w:jc w:val="center"/>
              <w:rPr>
                <w:sz w:val="24"/>
                <w:szCs w:val="24"/>
              </w:rPr>
            </w:pPr>
            <w:r>
              <w:rPr>
                <w:sz w:val="24"/>
                <w:szCs w:val="24"/>
              </w:rPr>
              <w:t>1</w:t>
            </w:r>
          </w:p>
        </w:tc>
        <w:tc>
          <w:tcPr>
            <w:tcW w:w="2361" w:type="dxa"/>
          </w:tcPr>
          <w:p w:rsidR="00E31A49" w:rsidRPr="007150F4" w:rsidRDefault="00E31A49" w:rsidP="00844CB7">
            <w:pPr>
              <w:jc w:val="center"/>
              <w:rPr>
                <w:sz w:val="24"/>
                <w:szCs w:val="24"/>
              </w:rPr>
            </w:pPr>
            <w:r>
              <w:rPr>
                <w:sz w:val="24"/>
                <w:szCs w:val="24"/>
              </w:rPr>
              <w:t>2</w:t>
            </w:r>
          </w:p>
        </w:tc>
        <w:tc>
          <w:tcPr>
            <w:tcW w:w="2361" w:type="dxa"/>
          </w:tcPr>
          <w:p w:rsidR="00E31A49" w:rsidRPr="007150F4" w:rsidRDefault="00E31A49" w:rsidP="00844CB7">
            <w:pPr>
              <w:jc w:val="center"/>
              <w:rPr>
                <w:sz w:val="24"/>
                <w:szCs w:val="24"/>
              </w:rPr>
            </w:pPr>
            <w:r>
              <w:rPr>
                <w:sz w:val="24"/>
                <w:szCs w:val="24"/>
              </w:rPr>
              <w:t>3</w:t>
            </w:r>
          </w:p>
        </w:tc>
      </w:tr>
      <w:tr w:rsidR="00E31A49" w:rsidRPr="007150F4" w:rsidTr="00844CB7">
        <w:tc>
          <w:tcPr>
            <w:tcW w:w="2263" w:type="dxa"/>
            <w:vMerge/>
          </w:tcPr>
          <w:p w:rsidR="00E31A49" w:rsidRPr="007150F4" w:rsidRDefault="00E31A49" w:rsidP="00844CB7">
            <w:pPr>
              <w:jc w:val="center"/>
              <w:rPr>
                <w:sz w:val="24"/>
                <w:szCs w:val="24"/>
              </w:rPr>
            </w:pPr>
          </w:p>
        </w:tc>
        <w:tc>
          <w:tcPr>
            <w:tcW w:w="2360" w:type="dxa"/>
          </w:tcPr>
          <w:p w:rsidR="00E31A49" w:rsidRPr="007150F4" w:rsidRDefault="00E31A49" w:rsidP="00844CB7">
            <w:pPr>
              <w:jc w:val="center"/>
              <w:rPr>
                <w:sz w:val="24"/>
                <w:szCs w:val="24"/>
              </w:rPr>
            </w:pPr>
            <w:r w:rsidRPr="007150F4">
              <w:rPr>
                <w:sz w:val="24"/>
                <w:szCs w:val="24"/>
              </w:rPr>
              <w:t>исходно</w:t>
            </w:r>
          </w:p>
        </w:tc>
        <w:tc>
          <w:tcPr>
            <w:tcW w:w="2361" w:type="dxa"/>
          </w:tcPr>
          <w:p w:rsidR="00E31A49" w:rsidRPr="007150F4" w:rsidRDefault="00E31A49" w:rsidP="00844CB7">
            <w:pPr>
              <w:jc w:val="center"/>
              <w:rPr>
                <w:sz w:val="24"/>
                <w:szCs w:val="24"/>
              </w:rPr>
            </w:pPr>
            <w:r w:rsidRPr="007150F4">
              <w:rPr>
                <w:sz w:val="24"/>
                <w:szCs w:val="24"/>
              </w:rPr>
              <w:t xml:space="preserve">Через 3 </w:t>
            </w:r>
            <w:proofErr w:type="gramStart"/>
            <w:r w:rsidRPr="007150F4">
              <w:rPr>
                <w:sz w:val="24"/>
                <w:szCs w:val="24"/>
              </w:rPr>
              <w:t>мес</w:t>
            </w:r>
            <w:proofErr w:type="gramEnd"/>
          </w:p>
        </w:tc>
        <w:tc>
          <w:tcPr>
            <w:tcW w:w="2361" w:type="dxa"/>
          </w:tcPr>
          <w:p w:rsidR="00E31A49" w:rsidRPr="007150F4" w:rsidRDefault="00E31A49" w:rsidP="00844CB7">
            <w:pPr>
              <w:jc w:val="center"/>
              <w:rPr>
                <w:sz w:val="24"/>
                <w:szCs w:val="24"/>
              </w:rPr>
            </w:pPr>
            <w:r w:rsidRPr="007150F4">
              <w:rPr>
                <w:sz w:val="24"/>
                <w:szCs w:val="24"/>
              </w:rPr>
              <w:t>Через 6 мес.</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1</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56</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55</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55</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2</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55</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53</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52</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3</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57</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55</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53</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4</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59</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57</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55</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5</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57</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55</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58</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6</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59</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56</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56</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Pr>
                <w:sz w:val="24"/>
                <w:szCs w:val="24"/>
              </w:rPr>
              <w:t>Р</w:t>
            </w:r>
            <w:r w:rsidRPr="007150F4">
              <w:rPr>
                <w:sz w:val="24"/>
                <w:szCs w:val="24"/>
                <w:vertAlign w:val="subscript"/>
              </w:rPr>
              <w:t>1-2</w:t>
            </w:r>
          </w:p>
        </w:tc>
        <w:tc>
          <w:tcPr>
            <w:tcW w:w="7082" w:type="dxa"/>
            <w:gridSpan w:val="3"/>
            <w:vAlign w:val="center"/>
          </w:tcPr>
          <w:p w:rsidR="00E31A49" w:rsidRPr="00BE5BC5" w:rsidRDefault="00E31A49" w:rsidP="00844CB7">
            <w:pPr>
              <w:widowControl w:val="0"/>
              <w:suppressAutoHyphens/>
              <w:jc w:val="center"/>
              <w:rPr>
                <w:sz w:val="24"/>
                <w:szCs w:val="24"/>
              </w:rPr>
            </w:pPr>
            <w:r>
              <w:rPr>
                <w:rFonts w:cs="Times New Roman"/>
                <w:sz w:val="24"/>
                <w:szCs w:val="24"/>
              </w:rPr>
              <w:t>&gt;</w:t>
            </w:r>
            <w:r>
              <w:rPr>
                <w:sz w:val="24"/>
                <w:szCs w:val="24"/>
              </w:rPr>
              <w:t>0,05 (Тэмп.=2, Т кр.=3) зона неопределенности</w:t>
            </w:r>
          </w:p>
        </w:tc>
      </w:tr>
      <w:tr w:rsidR="00E31A49" w:rsidRPr="007150F4" w:rsidTr="00844CB7">
        <w:tc>
          <w:tcPr>
            <w:tcW w:w="2263" w:type="dxa"/>
            <w:vAlign w:val="center"/>
          </w:tcPr>
          <w:p w:rsidR="00E31A49" w:rsidRDefault="00E31A49" w:rsidP="00844CB7">
            <w:pPr>
              <w:widowControl w:val="0"/>
              <w:suppressAutoHyphens/>
              <w:rPr>
                <w:sz w:val="24"/>
                <w:szCs w:val="24"/>
              </w:rPr>
            </w:pPr>
            <w:r>
              <w:rPr>
                <w:sz w:val="24"/>
                <w:szCs w:val="24"/>
              </w:rPr>
              <w:t>Р</w:t>
            </w:r>
            <w:r w:rsidRPr="007150F4">
              <w:rPr>
                <w:sz w:val="24"/>
                <w:szCs w:val="24"/>
                <w:vertAlign w:val="subscript"/>
              </w:rPr>
              <w:t>1-3</w:t>
            </w:r>
          </w:p>
        </w:tc>
        <w:tc>
          <w:tcPr>
            <w:tcW w:w="7082" w:type="dxa"/>
            <w:gridSpan w:val="3"/>
            <w:vAlign w:val="center"/>
          </w:tcPr>
          <w:p w:rsidR="00E31A49" w:rsidRDefault="00E31A49" w:rsidP="00844CB7">
            <w:pPr>
              <w:widowControl w:val="0"/>
              <w:suppressAutoHyphens/>
              <w:jc w:val="center"/>
              <w:rPr>
                <w:rFonts w:cs="Times New Roman"/>
                <w:sz w:val="24"/>
                <w:szCs w:val="24"/>
              </w:rPr>
            </w:pPr>
            <w:r>
              <w:rPr>
                <w:rFonts w:cs="Times New Roman"/>
                <w:sz w:val="24"/>
                <w:szCs w:val="24"/>
              </w:rPr>
              <w:t>&gt;</w:t>
            </w:r>
            <w:r>
              <w:rPr>
                <w:sz w:val="24"/>
                <w:szCs w:val="24"/>
              </w:rPr>
              <w:t>0,05 (Тэмп.=1,5, Т кр.=2) зона неопределенности</w:t>
            </w:r>
          </w:p>
        </w:tc>
      </w:tr>
      <w:tr w:rsidR="00E31A49" w:rsidRPr="007150F4" w:rsidTr="00844CB7">
        <w:tc>
          <w:tcPr>
            <w:tcW w:w="2263" w:type="dxa"/>
            <w:vAlign w:val="center"/>
          </w:tcPr>
          <w:p w:rsidR="00E31A49" w:rsidRDefault="00E31A49" w:rsidP="00844CB7">
            <w:pPr>
              <w:widowControl w:val="0"/>
              <w:suppressAutoHyphens/>
              <w:rPr>
                <w:sz w:val="24"/>
                <w:szCs w:val="24"/>
              </w:rPr>
            </w:pPr>
            <w:r>
              <w:rPr>
                <w:sz w:val="24"/>
                <w:szCs w:val="24"/>
              </w:rPr>
              <w:t>Р</w:t>
            </w:r>
            <w:r w:rsidRPr="007150F4">
              <w:rPr>
                <w:sz w:val="24"/>
                <w:szCs w:val="24"/>
                <w:vertAlign w:val="subscript"/>
              </w:rPr>
              <w:t>2-3</w:t>
            </w:r>
          </w:p>
        </w:tc>
        <w:tc>
          <w:tcPr>
            <w:tcW w:w="7082" w:type="dxa"/>
            <w:gridSpan w:val="3"/>
            <w:vAlign w:val="center"/>
          </w:tcPr>
          <w:p w:rsidR="00E31A49" w:rsidRDefault="00E31A49" w:rsidP="00844CB7">
            <w:pPr>
              <w:widowControl w:val="0"/>
              <w:suppressAutoHyphens/>
              <w:jc w:val="center"/>
              <w:rPr>
                <w:rFonts w:cs="Times New Roman"/>
                <w:sz w:val="24"/>
                <w:szCs w:val="24"/>
              </w:rPr>
            </w:pPr>
            <w:r>
              <w:rPr>
                <w:rFonts w:cs="Times New Roman"/>
                <w:sz w:val="24"/>
                <w:szCs w:val="24"/>
              </w:rPr>
              <w:t>&gt;</w:t>
            </w:r>
            <w:r>
              <w:rPr>
                <w:sz w:val="24"/>
                <w:szCs w:val="24"/>
              </w:rPr>
              <w:t>0,05 (Тэмп.=5, Т кр.=2) зона незначимости</w:t>
            </w:r>
          </w:p>
        </w:tc>
      </w:tr>
    </w:tbl>
    <w:p w:rsidR="00E31A49" w:rsidRDefault="00E31A49" w:rsidP="00E31A49">
      <w:pPr>
        <w:ind w:firstLine="708"/>
      </w:pPr>
      <w:r>
        <w:lastRenderedPageBreak/>
        <w:t>Анализ данных о минутном объеме кровообращения (МОК) животных позволил установить</w:t>
      </w:r>
      <w:proofErr w:type="gramStart"/>
      <w:r>
        <w:t>.</w:t>
      </w:r>
      <w:proofErr w:type="gramEnd"/>
      <w:r>
        <w:t xml:space="preserve"> </w:t>
      </w:r>
      <w:proofErr w:type="gramStart"/>
      <w:r>
        <w:t>ч</w:t>
      </w:r>
      <w:proofErr w:type="gramEnd"/>
      <w:r>
        <w:t>то до операции этот показатель в выборке составлял 4,75 л/мин (4,62 ; 5,02). Через 3 мес. после операции МОК в выборке несколько сократился – до 4,60 л/мин (4,35</w:t>
      </w:r>
      <w:proofErr w:type="gramStart"/>
      <w:r>
        <w:t xml:space="preserve"> ;</w:t>
      </w:r>
      <w:proofErr w:type="gramEnd"/>
      <w:r>
        <w:t xml:space="preserve"> 4,92), а через 6 мес. катамнеза он, напротив, возрос до 4,70 л/мин (4,42 ; 4,97) (рис. 26).</w:t>
      </w:r>
    </w:p>
    <w:p w:rsidR="00E31A49" w:rsidRDefault="00E31A49" w:rsidP="00E31A49">
      <w:pPr>
        <w:jc w:val="center"/>
      </w:pPr>
      <w:r>
        <w:rPr>
          <w:noProof/>
          <w:lang w:eastAsia="ru-RU"/>
        </w:rPr>
        <w:drawing>
          <wp:inline distT="0" distB="0" distL="0" distR="0">
            <wp:extent cx="5248275" cy="3248025"/>
            <wp:effectExtent l="0" t="0" r="9525" b="9525"/>
            <wp:docPr id="4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31A49" w:rsidRDefault="00E31A49" w:rsidP="00E31A49">
      <w:pPr>
        <w:jc w:val="center"/>
      </w:pPr>
      <w:r>
        <w:t>Рис. 26. Динамика минутного объема кровообращения в периоперационном периоде</w:t>
      </w:r>
    </w:p>
    <w:p w:rsidR="00E31A49" w:rsidRDefault="00E31A49" w:rsidP="00E31A49">
      <w:pPr>
        <w:ind w:firstLine="708"/>
      </w:pPr>
      <w:r>
        <w:t>Результаты статистической обработки полученных данных представлены в таблице 10.</w:t>
      </w:r>
    </w:p>
    <w:p w:rsidR="00E31A49" w:rsidRDefault="00E31A49" w:rsidP="00E31A49">
      <w:pPr>
        <w:jc w:val="right"/>
      </w:pPr>
      <w:r>
        <w:t>Таблица 10</w:t>
      </w:r>
    </w:p>
    <w:p w:rsidR="00E31A49" w:rsidRDefault="00E31A49" w:rsidP="00E31A49">
      <w:pPr>
        <w:ind w:firstLine="708"/>
        <w:jc w:val="center"/>
      </w:pPr>
      <w:r>
        <w:t>Статистическая оценка достоверности динамики МОК в периоперационном периоде</w:t>
      </w:r>
    </w:p>
    <w:tbl>
      <w:tblPr>
        <w:tblStyle w:val="aa"/>
        <w:tblW w:w="0" w:type="auto"/>
        <w:tblLook w:val="04A0"/>
      </w:tblPr>
      <w:tblGrid>
        <w:gridCol w:w="2263"/>
        <w:gridCol w:w="2360"/>
        <w:gridCol w:w="2361"/>
        <w:gridCol w:w="2361"/>
      </w:tblGrid>
      <w:tr w:rsidR="00E31A49" w:rsidRPr="007150F4" w:rsidTr="00844CB7">
        <w:tc>
          <w:tcPr>
            <w:tcW w:w="2263" w:type="dxa"/>
            <w:vMerge w:val="restart"/>
          </w:tcPr>
          <w:p w:rsidR="00E31A49" w:rsidRPr="007150F4" w:rsidRDefault="00E31A49" w:rsidP="00844CB7">
            <w:pPr>
              <w:jc w:val="center"/>
              <w:rPr>
                <w:sz w:val="24"/>
                <w:szCs w:val="24"/>
              </w:rPr>
            </w:pPr>
            <w:r w:rsidRPr="007150F4">
              <w:rPr>
                <w:sz w:val="24"/>
                <w:szCs w:val="24"/>
              </w:rPr>
              <w:t>Животные</w:t>
            </w:r>
          </w:p>
        </w:tc>
        <w:tc>
          <w:tcPr>
            <w:tcW w:w="7082" w:type="dxa"/>
            <w:gridSpan w:val="3"/>
          </w:tcPr>
          <w:p w:rsidR="00E31A49" w:rsidRPr="007150F4" w:rsidRDefault="00E31A49" w:rsidP="00844CB7">
            <w:pPr>
              <w:jc w:val="center"/>
              <w:rPr>
                <w:sz w:val="24"/>
                <w:szCs w:val="24"/>
              </w:rPr>
            </w:pPr>
            <w:r>
              <w:rPr>
                <w:sz w:val="24"/>
                <w:szCs w:val="24"/>
              </w:rPr>
              <w:t>ФВ, %</w:t>
            </w:r>
          </w:p>
        </w:tc>
      </w:tr>
      <w:tr w:rsidR="00E31A49" w:rsidRPr="007150F4" w:rsidTr="00844CB7">
        <w:tc>
          <w:tcPr>
            <w:tcW w:w="2263" w:type="dxa"/>
            <w:vMerge/>
          </w:tcPr>
          <w:p w:rsidR="00E31A49" w:rsidRPr="007150F4" w:rsidRDefault="00E31A49" w:rsidP="00844CB7">
            <w:pPr>
              <w:jc w:val="center"/>
              <w:rPr>
                <w:sz w:val="24"/>
                <w:szCs w:val="24"/>
              </w:rPr>
            </w:pPr>
          </w:p>
        </w:tc>
        <w:tc>
          <w:tcPr>
            <w:tcW w:w="2360" w:type="dxa"/>
          </w:tcPr>
          <w:p w:rsidR="00E31A49" w:rsidRPr="007150F4" w:rsidRDefault="00E31A49" w:rsidP="00844CB7">
            <w:pPr>
              <w:jc w:val="center"/>
              <w:rPr>
                <w:sz w:val="24"/>
                <w:szCs w:val="24"/>
              </w:rPr>
            </w:pPr>
            <w:r>
              <w:rPr>
                <w:sz w:val="24"/>
                <w:szCs w:val="24"/>
              </w:rPr>
              <w:t>1</w:t>
            </w:r>
          </w:p>
        </w:tc>
        <w:tc>
          <w:tcPr>
            <w:tcW w:w="2361" w:type="dxa"/>
          </w:tcPr>
          <w:p w:rsidR="00E31A49" w:rsidRPr="007150F4" w:rsidRDefault="00E31A49" w:rsidP="00844CB7">
            <w:pPr>
              <w:jc w:val="center"/>
              <w:rPr>
                <w:sz w:val="24"/>
                <w:szCs w:val="24"/>
              </w:rPr>
            </w:pPr>
            <w:r>
              <w:rPr>
                <w:sz w:val="24"/>
                <w:szCs w:val="24"/>
              </w:rPr>
              <w:t>2</w:t>
            </w:r>
          </w:p>
        </w:tc>
        <w:tc>
          <w:tcPr>
            <w:tcW w:w="2361" w:type="dxa"/>
          </w:tcPr>
          <w:p w:rsidR="00E31A49" w:rsidRPr="007150F4" w:rsidRDefault="00E31A49" w:rsidP="00844CB7">
            <w:pPr>
              <w:jc w:val="center"/>
              <w:rPr>
                <w:sz w:val="24"/>
                <w:szCs w:val="24"/>
              </w:rPr>
            </w:pPr>
            <w:r>
              <w:rPr>
                <w:sz w:val="24"/>
                <w:szCs w:val="24"/>
              </w:rPr>
              <w:t>3</w:t>
            </w:r>
          </w:p>
        </w:tc>
      </w:tr>
      <w:tr w:rsidR="00E31A49" w:rsidRPr="007150F4" w:rsidTr="00844CB7">
        <w:tc>
          <w:tcPr>
            <w:tcW w:w="2263" w:type="dxa"/>
            <w:vMerge/>
          </w:tcPr>
          <w:p w:rsidR="00E31A49" w:rsidRPr="007150F4" w:rsidRDefault="00E31A49" w:rsidP="00844CB7">
            <w:pPr>
              <w:jc w:val="center"/>
              <w:rPr>
                <w:sz w:val="24"/>
                <w:szCs w:val="24"/>
              </w:rPr>
            </w:pPr>
          </w:p>
        </w:tc>
        <w:tc>
          <w:tcPr>
            <w:tcW w:w="2360" w:type="dxa"/>
          </w:tcPr>
          <w:p w:rsidR="00E31A49" w:rsidRPr="007150F4" w:rsidRDefault="00E31A49" w:rsidP="00844CB7">
            <w:pPr>
              <w:jc w:val="center"/>
              <w:rPr>
                <w:sz w:val="24"/>
                <w:szCs w:val="24"/>
              </w:rPr>
            </w:pPr>
            <w:r w:rsidRPr="007150F4">
              <w:rPr>
                <w:sz w:val="24"/>
                <w:szCs w:val="24"/>
              </w:rPr>
              <w:t>исходно</w:t>
            </w:r>
          </w:p>
        </w:tc>
        <w:tc>
          <w:tcPr>
            <w:tcW w:w="2361" w:type="dxa"/>
          </w:tcPr>
          <w:p w:rsidR="00E31A49" w:rsidRPr="007150F4" w:rsidRDefault="00E31A49" w:rsidP="00844CB7">
            <w:pPr>
              <w:jc w:val="center"/>
              <w:rPr>
                <w:sz w:val="24"/>
                <w:szCs w:val="24"/>
              </w:rPr>
            </w:pPr>
            <w:r w:rsidRPr="007150F4">
              <w:rPr>
                <w:sz w:val="24"/>
                <w:szCs w:val="24"/>
              </w:rPr>
              <w:t xml:space="preserve">Через 3 </w:t>
            </w:r>
            <w:proofErr w:type="gramStart"/>
            <w:r w:rsidRPr="007150F4">
              <w:rPr>
                <w:sz w:val="24"/>
                <w:szCs w:val="24"/>
              </w:rPr>
              <w:t>мес</w:t>
            </w:r>
            <w:proofErr w:type="gramEnd"/>
          </w:p>
        </w:tc>
        <w:tc>
          <w:tcPr>
            <w:tcW w:w="2361" w:type="dxa"/>
          </w:tcPr>
          <w:p w:rsidR="00E31A49" w:rsidRPr="007150F4" w:rsidRDefault="00E31A49" w:rsidP="00844CB7">
            <w:pPr>
              <w:jc w:val="center"/>
              <w:rPr>
                <w:sz w:val="24"/>
                <w:szCs w:val="24"/>
              </w:rPr>
            </w:pPr>
            <w:r w:rsidRPr="007150F4">
              <w:rPr>
                <w:sz w:val="24"/>
                <w:szCs w:val="24"/>
              </w:rPr>
              <w:t>Через 6 мес.</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1</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5,1</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5,0</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2</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4,5</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4,0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4,1</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3</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4,6</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4,5</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4,4</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4</w:t>
            </w:r>
          </w:p>
        </w:tc>
        <w:tc>
          <w:tcPr>
            <w:tcW w:w="2360" w:type="dxa"/>
            <w:vAlign w:val="center"/>
          </w:tcPr>
          <w:p w:rsidR="00E31A49" w:rsidRPr="00BE5BC5" w:rsidRDefault="00E31A49" w:rsidP="00844CB7">
            <w:pPr>
              <w:widowControl w:val="0"/>
              <w:suppressAutoHyphens/>
              <w:jc w:val="center"/>
              <w:rPr>
                <w:sz w:val="24"/>
                <w:szCs w:val="24"/>
              </w:rPr>
            </w:pPr>
            <w:r w:rsidRPr="00BE5BC5">
              <w:rPr>
                <w:sz w:val="24"/>
                <w:szCs w:val="24"/>
              </w:rPr>
              <w:t>5,6</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5,0</w:t>
            </w:r>
          </w:p>
        </w:tc>
        <w:tc>
          <w:tcPr>
            <w:tcW w:w="2361" w:type="dxa"/>
            <w:vAlign w:val="center"/>
          </w:tcPr>
          <w:p w:rsidR="00E31A49" w:rsidRPr="00BE5BC5" w:rsidRDefault="00E31A49" w:rsidP="00844CB7">
            <w:pPr>
              <w:widowControl w:val="0"/>
              <w:suppressAutoHyphens/>
              <w:jc w:val="center"/>
              <w:rPr>
                <w:sz w:val="24"/>
                <w:szCs w:val="24"/>
              </w:rPr>
            </w:pPr>
            <w:r w:rsidRPr="00BE5BC5">
              <w:rPr>
                <w:sz w:val="24"/>
                <w:szCs w:val="24"/>
              </w:rPr>
              <w:t>5,1</w:t>
            </w:r>
          </w:p>
        </w:tc>
      </w:tr>
      <w:tr w:rsidR="00E31A49" w:rsidRPr="007150F4" w:rsidTr="00844CB7">
        <w:tc>
          <w:tcPr>
            <w:tcW w:w="9345" w:type="dxa"/>
            <w:gridSpan w:val="4"/>
            <w:vAlign w:val="center"/>
          </w:tcPr>
          <w:p w:rsidR="00E31A49" w:rsidRPr="00BE5BC5" w:rsidRDefault="00E31A49" w:rsidP="00844CB7">
            <w:pPr>
              <w:widowControl w:val="0"/>
              <w:suppressAutoHyphens/>
              <w:jc w:val="right"/>
              <w:rPr>
                <w:sz w:val="24"/>
                <w:szCs w:val="24"/>
              </w:rPr>
            </w:pPr>
            <w:r>
              <w:rPr>
                <w:sz w:val="24"/>
                <w:szCs w:val="24"/>
              </w:rPr>
              <w:lastRenderedPageBreak/>
              <w:t>Продолжение табл. 10</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5</w:t>
            </w:r>
          </w:p>
        </w:tc>
        <w:tc>
          <w:tcPr>
            <w:tcW w:w="2360" w:type="dxa"/>
            <w:vAlign w:val="center"/>
          </w:tcPr>
          <w:p w:rsidR="00E31A49" w:rsidRPr="00BE5BC5" w:rsidRDefault="00E31A49" w:rsidP="00844CB7">
            <w:pPr>
              <w:widowControl w:val="0"/>
              <w:suppressAutoHyphens/>
              <w:jc w:val="center"/>
              <w:rPr>
                <w:sz w:val="24"/>
                <w:szCs w:val="24"/>
              </w:rPr>
            </w:pPr>
            <w:r>
              <w:rPr>
                <w:sz w:val="24"/>
                <w:szCs w:val="24"/>
              </w:rPr>
              <w:t>4,7</w:t>
            </w:r>
          </w:p>
        </w:tc>
        <w:tc>
          <w:tcPr>
            <w:tcW w:w="2361" w:type="dxa"/>
            <w:vAlign w:val="center"/>
          </w:tcPr>
          <w:p w:rsidR="00E31A49" w:rsidRPr="00BE5BC5" w:rsidRDefault="00E31A49" w:rsidP="00844CB7">
            <w:pPr>
              <w:widowControl w:val="0"/>
              <w:suppressAutoHyphens/>
              <w:jc w:val="center"/>
              <w:rPr>
                <w:sz w:val="24"/>
                <w:szCs w:val="24"/>
              </w:rPr>
            </w:pPr>
            <w:r>
              <w:rPr>
                <w:sz w:val="24"/>
                <w:szCs w:val="24"/>
              </w:rPr>
              <w:t>4,3</w:t>
            </w:r>
          </w:p>
        </w:tc>
        <w:tc>
          <w:tcPr>
            <w:tcW w:w="2361" w:type="dxa"/>
            <w:vAlign w:val="center"/>
          </w:tcPr>
          <w:p w:rsidR="00E31A49" w:rsidRPr="00BE5BC5" w:rsidRDefault="00E31A49" w:rsidP="00844CB7">
            <w:pPr>
              <w:widowControl w:val="0"/>
              <w:suppressAutoHyphens/>
              <w:jc w:val="center"/>
              <w:rPr>
                <w:sz w:val="24"/>
                <w:szCs w:val="24"/>
              </w:rPr>
            </w:pPr>
            <w:r>
              <w:rPr>
                <w:sz w:val="24"/>
                <w:szCs w:val="24"/>
              </w:rPr>
              <w:t>4,5</w:t>
            </w:r>
          </w:p>
        </w:tc>
      </w:tr>
      <w:tr w:rsidR="00E31A49" w:rsidRPr="007150F4" w:rsidTr="00844CB7">
        <w:tc>
          <w:tcPr>
            <w:tcW w:w="2263" w:type="dxa"/>
            <w:vAlign w:val="center"/>
          </w:tcPr>
          <w:p w:rsidR="00E31A49" w:rsidRPr="00BE5BC5" w:rsidRDefault="00E31A49" w:rsidP="00844CB7">
            <w:pPr>
              <w:widowControl w:val="0"/>
              <w:suppressAutoHyphens/>
              <w:rPr>
                <w:sz w:val="24"/>
                <w:szCs w:val="24"/>
              </w:rPr>
            </w:pPr>
            <w:r w:rsidRPr="00BE5BC5">
              <w:rPr>
                <w:sz w:val="24"/>
                <w:szCs w:val="24"/>
              </w:rPr>
              <w:t>Животное 6</w:t>
            </w:r>
          </w:p>
        </w:tc>
        <w:tc>
          <w:tcPr>
            <w:tcW w:w="2360" w:type="dxa"/>
            <w:vAlign w:val="center"/>
          </w:tcPr>
          <w:p w:rsidR="00E31A49" w:rsidRPr="00BE5BC5" w:rsidRDefault="00E31A49" w:rsidP="00844CB7">
            <w:pPr>
              <w:widowControl w:val="0"/>
              <w:suppressAutoHyphens/>
              <w:jc w:val="center"/>
              <w:rPr>
                <w:sz w:val="24"/>
                <w:szCs w:val="24"/>
              </w:rPr>
            </w:pPr>
            <w:r>
              <w:rPr>
                <w:sz w:val="24"/>
                <w:szCs w:val="24"/>
              </w:rPr>
              <w:t>4,8</w:t>
            </w:r>
          </w:p>
        </w:tc>
        <w:tc>
          <w:tcPr>
            <w:tcW w:w="2361" w:type="dxa"/>
            <w:vAlign w:val="center"/>
          </w:tcPr>
          <w:p w:rsidR="00E31A49" w:rsidRPr="00BE5BC5" w:rsidRDefault="00E31A49" w:rsidP="00844CB7">
            <w:pPr>
              <w:widowControl w:val="0"/>
              <w:suppressAutoHyphens/>
              <w:jc w:val="center"/>
              <w:rPr>
                <w:sz w:val="24"/>
                <w:szCs w:val="24"/>
              </w:rPr>
            </w:pPr>
            <w:r>
              <w:rPr>
                <w:sz w:val="24"/>
                <w:szCs w:val="24"/>
              </w:rPr>
              <w:t>4,7</w:t>
            </w:r>
          </w:p>
        </w:tc>
        <w:tc>
          <w:tcPr>
            <w:tcW w:w="2361" w:type="dxa"/>
            <w:vAlign w:val="center"/>
          </w:tcPr>
          <w:p w:rsidR="00E31A49" w:rsidRPr="00BE5BC5" w:rsidRDefault="00E31A49" w:rsidP="00844CB7">
            <w:pPr>
              <w:widowControl w:val="0"/>
              <w:suppressAutoHyphens/>
              <w:jc w:val="center"/>
              <w:rPr>
                <w:sz w:val="24"/>
                <w:szCs w:val="24"/>
              </w:rPr>
            </w:pPr>
            <w:r>
              <w:rPr>
                <w:sz w:val="24"/>
                <w:szCs w:val="24"/>
              </w:rPr>
              <w:t>4,9</w:t>
            </w:r>
          </w:p>
        </w:tc>
      </w:tr>
      <w:tr w:rsidR="00E31A49" w:rsidRPr="007150F4" w:rsidTr="00844CB7">
        <w:tc>
          <w:tcPr>
            <w:tcW w:w="2263" w:type="dxa"/>
            <w:vAlign w:val="center"/>
          </w:tcPr>
          <w:p w:rsidR="00E31A49" w:rsidRPr="007150F4" w:rsidRDefault="00E31A49" w:rsidP="00844CB7">
            <w:pPr>
              <w:widowControl w:val="0"/>
              <w:suppressAutoHyphens/>
              <w:rPr>
                <w:sz w:val="24"/>
                <w:szCs w:val="24"/>
              </w:rPr>
            </w:pPr>
            <w:r>
              <w:rPr>
                <w:sz w:val="24"/>
                <w:szCs w:val="24"/>
              </w:rPr>
              <w:t>Р</w:t>
            </w:r>
            <w:r w:rsidRPr="007150F4">
              <w:rPr>
                <w:sz w:val="24"/>
                <w:szCs w:val="24"/>
                <w:vertAlign w:val="subscript"/>
              </w:rPr>
              <w:t>1-2</w:t>
            </w:r>
          </w:p>
        </w:tc>
        <w:tc>
          <w:tcPr>
            <w:tcW w:w="7082" w:type="dxa"/>
            <w:gridSpan w:val="3"/>
            <w:vAlign w:val="center"/>
          </w:tcPr>
          <w:p w:rsidR="00E31A49" w:rsidRPr="00BE5BC5" w:rsidRDefault="00E31A49" w:rsidP="00844CB7">
            <w:pPr>
              <w:widowControl w:val="0"/>
              <w:suppressAutoHyphens/>
              <w:jc w:val="center"/>
              <w:rPr>
                <w:sz w:val="24"/>
                <w:szCs w:val="24"/>
              </w:rPr>
            </w:pPr>
            <w:r>
              <w:rPr>
                <w:rFonts w:cs="Times New Roman"/>
                <w:sz w:val="24"/>
                <w:szCs w:val="24"/>
              </w:rPr>
              <w:t>&gt;</w:t>
            </w:r>
            <w:r>
              <w:rPr>
                <w:sz w:val="24"/>
                <w:szCs w:val="24"/>
              </w:rPr>
              <w:t>0,05 (Тэмп.=2, Т кр.=3) зона неопределенности</w:t>
            </w:r>
          </w:p>
        </w:tc>
      </w:tr>
      <w:tr w:rsidR="00E31A49" w:rsidRPr="007150F4" w:rsidTr="00844CB7">
        <w:tc>
          <w:tcPr>
            <w:tcW w:w="2263" w:type="dxa"/>
            <w:vAlign w:val="center"/>
          </w:tcPr>
          <w:p w:rsidR="00E31A49" w:rsidRDefault="00E31A49" w:rsidP="00844CB7">
            <w:pPr>
              <w:widowControl w:val="0"/>
              <w:suppressAutoHyphens/>
              <w:rPr>
                <w:sz w:val="24"/>
                <w:szCs w:val="24"/>
              </w:rPr>
            </w:pPr>
            <w:r>
              <w:rPr>
                <w:sz w:val="24"/>
                <w:szCs w:val="24"/>
              </w:rPr>
              <w:t>Р</w:t>
            </w:r>
            <w:r w:rsidRPr="007150F4">
              <w:rPr>
                <w:sz w:val="24"/>
                <w:szCs w:val="24"/>
                <w:vertAlign w:val="subscript"/>
              </w:rPr>
              <w:t>1-3</w:t>
            </w:r>
          </w:p>
        </w:tc>
        <w:tc>
          <w:tcPr>
            <w:tcW w:w="7082" w:type="dxa"/>
            <w:gridSpan w:val="3"/>
            <w:vAlign w:val="center"/>
          </w:tcPr>
          <w:p w:rsidR="00E31A49" w:rsidRPr="00BE5BC5" w:rsidRDefault="00E31A49" w:rsidP="00844CB7">
            <w:pPr>
              <w:widowControl w:val="0"/>
              <w:suppressAutoHyphens/>
              <w:jc w:val="center"/>
              <w:rPr>
                <w:sz w:val="24"/>
                <w:szCs w:val="24"/>
              </w:rPr>
            </w:pPr>
            <w:r>
              <w:rPr>
                <w:rFonts w:cs="Times New Roman"/>
                <w:sz w:val="24"/>
                <w:szCs w:val="24"/>
              </w:rPr>
              <w:t>&gt;</w:t>
            </w:r>
            <w:r>
              <w:rPr>
                <w:sz w:val="24"/>
                <w:szCs w:val="24"/>
              </w:rPr>
              <w:t>0,05 (Тэмп.=1,5, Т кр.=2) зона неопределенности</w:t>
            </w:r>
          </w:p>
        </w:tc>
      </w:tr>
      <w:tr w:rsidR="00E31A49" w:rsidRPr="007150F4" w:rsidTr="00844CB7">
        <w:tc>
          <w:tcPr>
            <w:tcW w:w="2263" w:type="dxa"/>
            <w:vAlign w:val="center"/>
          </w:tcPr>
          <w:p w:rsidR="00E31A49" w:rsidRDefault="00E31A49" w:rsidP="00844CB7">
            <w:pPr>
              <w:widowControl w:val="0"/>
              <w:suppressAutoHyphens/>
              <w:rPr>
                <w:sz w:val="24"/>
                <w:szCs w:val="24"/>
              </w:rPr>
            </w:pPr>
            <w:r>
              <w:rPr>
                <w:sz w:val="24"/>
                <w:szCs w:val="24"/>
              </w:rPr>
              <w:t>Р</w:t>
            </w:r>
            <w:r w:rsidRPr="007150F4">
              <w:rPr>
                <w:sz w:val="24"/>
                <w:szCs w:val="24"/>
                <w:vertAlign w:val="subscript"/>
              </w:rPr>
              <w:t>2-3</w:t>
            </w:r>
          </w:p>
        </w:tc>
        <w:tc>
          <w:tcPr>
            <w:tcW w:w="7082" w:type="dxa"/>
            <w:gridSpan w:val="3"/>
            <w:vAlign w:val="center"/>
          </w:tcPr>
          <w:p w:rsidR="00E31A49" w:rsidRPr="00BE5BC5" w:rsidRDefault="00E31A49" w:rsidP="00844CB7">
            <w:pPr>
              <w:widowControl w:val="0"/>
              <w:suppressAutoHyphens/>
              <w:jc w:val="center"/>
              <w:rPr>
                <w:sz w:val="24"/>
                <w:szCs w:val="24"/>
              </w:rPr>
            </w:pPr>
            <w:r>
              <w:rPr>
                <w:rFonts w:cs="Times New Roman"/>
                <w:sz w:val="24"/>
                <w:szCs w:val="24"/>
              </w:rPr>
              <w:t>&gt;</w:t>
            </w:r>
            <w:r>
              <w:rPr>
                <w:sz w:val="24"/>
                <w:szCs w:val="24"/>
              </w:rPr>
              <w:t>0,05 (Тэмп.=3, Т кр.=2) зона незначимости</w:t>
            </w:r>
          </w:p>
        </w:tc>
      </w:tr>
    </w:tbl>
    <w:p w:rsidR="00E31A49" w:rsidRDefault="00E31A49" w:rsidP="00E31A49">
      <w:pPr>
        <w:ind w:firstLine="708"/>
      </w:pPr>
    </w:p>
    <w:p w:rsidR="00E31A49" w:rsidRDefault="00E31A49" w:rsidP="00E31A49">
      <w:pPr>
        <w:ind w:firstLine="708"/>
      </w:pPr>
      <w:r>
        <w:t>Данные, представленные в таблице, свидетельствуют о том, что все изменения минутного объема кровообращения, зафиксированные у экспериментальных животных в периоперационном периоде, не достигали уровня статистической достоверности.</w:t>
      </w:r>
    </w:p>
    <w:p w:rsidR="00E31A49" w:rsidRDefault="00E31A49" w:rsidP="00E31A49">
      <w:pPr>
        <w:widowControl w:val="0"/>
        <w:suppressAutoHyphens/>
        <w:ind w:firstLine="720"/>
      </w:pPr>
      <w:r>
        <w:t>Проведенная ультразвуковая диагностика в послеоперационном периоде позволила также установить, что</w:t>
      </w:r>
      <w:r w:rsidRPr="00011B0C">
        <w:rPr>
          <w:sz w:val="24"/>
          <w:szCs w:val="24"/>
        </w:rPr>
        <w:t xml:space="preserve"> </w:t>
      </w:r>
      <w:r>
        <w:t>ни в одном случае</w:t>
      </w:r>
      <w:r w:rsidRPr="00011B0C">
        <w:t xml:space="preserve"> не было зафиксировано повреждений створчатого аппарата клапанов, </w:t>
      </w:r>
      <w:r>
        <w:t xml:space="preserve">а </w:t>
      </w:r>
      <w:r w:rsidRPr="00011B0C">
        <w:t xml:space="preserve">пропускная способность клапанов по данным ультразвуковых исследований </w:t>
      </w:r>
      <w:r>
        <w:t>соответствовала</w:t>
      </w:r>
      <w:r w:rsidRPr="00011B0C">
        <w:t xml:space="preserve"> норме. </w:t>
      </w:r>
    </w:p>
    <w:p w:rsidR="00E31A49" w:rsidRDefault="00E31A49" w:rsidP="00E31A49">
      <w:pPr>
        <w:ind w:firstLine="708"/>
      </w:pPr>
      <w:r>
        <w:t xml:space="preserve">Таким образом, анализ результатов </w:t>
      </w:r>
      <w:r w:rsidRPr="00011B0C">
        <w:t xml:space="preserve">эхокардиографических исследований экспериментальных животных </w:t>
      </w:r>
      <w:r>
        <w:t>до протезирования клапанов и в катамнезе на сроке 3 и 6 мес. выявил отсутствие значимых</w:t>
      </w:r>
      <w:r w:rsidRPr="00011B0C">
        <w:t xml:space="preserve"> изме</w:t>
      </w:r>
      <w:r>
        <w:t>н</w:t>
      </w:r>
      <w:r w:rsidRPr="00011B0C">
        <w:t xml:space="preserve">ений </w:t>
      </w:r>
      <w:r>
        <w:t xml:space="preserve">основных </w:t>
      </w:r>
      <w:r w:rsidRPr="00011B0C">
        <w:t>параметров внутрисердечной гемодинамики</w:t>
      </w:r>
      <w:r>
        <w:t xml:space="preserve"> – конечно-систолического и конечно-диастолического объемов сердца, фракции выброса и минутного объема кровообращения. </w:t>
      </w:r>
    </w:p>
    <w:p w:rsidR="00E31A49" w:rsidRDefault="00E31A49">
      <w:pPr>
        <w:spacing w:after="160" w:line="259" w:lineRule="auto"/>
        <w:jc w:val="left"/>
        <w:rPr>
          <w:shd w:val="clear" w:color="auto" w:fill="FFFFFF"/>
        </w:rPr>
      </w:pPr>
      <w:r>
        <w:rPr>
          <w:shd w:val="clear" w:color="auto" w:fill="FFFFFF"/>
        </w:rPr>
        <w:br w:type="page"/>
      </w:r>
    </w:p>
    <w:p w:rsidR="003F10E4" w:rsidRDefault="003F10E4" w:rsidP="003F10E4">
      <w:pPr>
        <w:jc w:val="center"/>
        <w:rPr>
          <w:b/>
        </w:rPr>
      </w:pPr>
      <w:r w:rsidRPr="00011B0C">
        <w:rPr>
          <w:b/>
        </w:rPr>
        <w:lastRenderedPageBreak/>
        <w:t>3.2. Анализ результатов оценки веса экспериментальных животных</w:t>
      </w:r>
    </w:p>
    <w:p w:rsidR="003F10E4" w:rsidRDefault="003F10E4" w:rsidP="003F10E4">
      <w:pPr>
        <w:ind w:firstLine="708"/>
      </w:pPr>
      <w:r>
        <w:t xml:space="preserve">С целью оценки реакции животных на имплантацию клапана проводился </w:t>
      </w:r>
      <w:r w:rsidRPr="00F42B7A">
        <w:t>мониторинг их веса</w:t>
      </w:r>
      <w:r>
        <w:t>, была проанализирована динамика данного показателя в периоперационном периоде. В результате было выявлено, что исходно вес экспериментальных животных варьировал в пределах от 88 до 96 кг  - медиана  составила 92,5 кг (90,5</w:t>
      </w:r>
      <w:proofErr w:type="gramStart"/>
      <w:r>
        <w:t xml:space="preserve"> ;</w:t>
      </w:r>
      <w:proofErr w:type="gramEnd"/>
      <w:r>
        <w:t xml:space="preserve"> 94,5). Через 3 мес. вес большинства животных несколько возрос, и медиана в выборке составила 113,0 кг (112,0</w:t>
      </w:r>
      <w:proofErr w:type="gramStart"/>
      <w:r>
        <w:t xml:space="preserve"> ;</w:t>
      </w:r>
      <w:proofErr w:type="gramEnd"/>
      <w:r>
        <w:t xml:space="preserve"> 114,0), а через 6 мес. наблюдения данный показатель увеличился до 125,5 кг (122,75 ; 127,5). Динамика веса экспериментальных животных наглядно представлена на рисунке 27.</w:t>
      </w:r>
    </w:p>
    <w:p w:rsidR="003F10E4" w:rsidRDefault="003F10E4" w:rsidP="003F10E4">
      <w:pPr>
        <w:jc w:val="center"/>
      </w:pPr>
      <w:r>
        <w:rPr>
          <w:noProof/>
          <w:lang w:eastAsia="ru-RU"/>
        </w:rPr>
        <w:drawing>
          <wp:inline distT="0" distB="0" distL="0" distR="0">
            <wp:extent cx="5534025" cy="3028950"/>
            <wp:effectExtent l="0" t="0" r="9525" b="0"/>
            <wp:docPr id="5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F10E4" w:rsidRDefault="003F10E4" w:rsidP="003F10E4">
      <w:pPr>
        <w:jc w:val="center"/>
      </w:pPr>
      <w:r>
        <w:t>Рис. 27. Динамика веса экспериментальных животных в периоперационном периоде</w:t>
      </w:r>
    </w:p>
    <w:p w:rsidR="003F10E4" w:rsidRDefault="003F10E4" w:rsidP="003F10E4">
      <w:pPr>
        <w:ind w:firstLine="708"/>
      </w:pPr>
      <w:r>
        <w:t xml:space="preserve">Статистический анализ полученных данных подтвердил наличие достоверно динамики веса животных (табл. 11) </w:t>
      </w:r>
    </w:p>
    <w:p w:rsidR="003F10E4" w:rsidRDefault="003F10E4" w:rsidP="003F10E4">
      <w:pPr>
        <w:ind w:firstLine="708"/>
        <w:jc w:val="right"/>
      </w:pPr>
      <w:r>
        <w:t>Таблица 11</w:t>
      </w:r>
    </w:p>
    <w:p w:rsidR="003F10E4" w:rsidRDefault="003F10E4" w:rsidP="003F10E4">
      <w:pPr>
        <w:ind w:firstLine="708"/>
        <w:jc w:val="center"/>
      </w:pPr>
      <w:r>
        <w:t>Статистическая оценка достоверности динамики веса в периоперационном периоде</w:t>
      </w:r>
    </w:p>
    <w:tbl>
      <w:tblPr>
        <w:tblStyle w:val="aa"/>
        <w:tblW w:w="0" w:type="auto"/>
        <w:tblLook w:val="04A0"/>
      </w:tblPr>
      <w:tblGrid>
        <w:gridCol w:w="2263"/>
        <w:gridCol w:w="2360"/>
        <w:gridCol w:w="2361"/>
        <w:gridCol w:w="2361"/>
      </w:tblGrid>
      <w:tr w:rsidR="003F10E4" w:rsidRPr="007150F4" w:rsidTr="00844CB7">
        <w:tc>
          <w:tcPr>
            <w:tcW w:w="2263" w:type="dxa"/>
            <w:vMerge w:val="restart"/>
          </w:tcPr>
          <w:p w:rsidR="003F10E4" w:rsidRPr="007150F4" w:rsidRDefault="003F10E4" w:rsidP="00844CB7">
            <w:pPr>
              <w:jc w:val="center"/>
              <w:rPr>
                <w:sz w:val="24"/>
                <w:szCs w:val="24"/>
              </w:rPr>
            </w:pPr>
            <w:r w:rsidRPr="007150F4">
              <w:rPr>
                <w:sz w:val="24"/>
                <w:szCs w:val="24"/>
              </w:rPr>
              <w:t>Животные</w:t>
            </w:r>
          </w:p>
        </w:tc>
        <w:tc>
          <w:tcPr>
            <w:tcW w:w="7082" w:type="dxa"/>
            <w:gridSpan w:val="3"/>
          </w:tcPr>
          <w:p w:rsidR="003F10E4" w:rsidRPr="007150F4" w:rsidRDefault="003F10E4" w:rsidP="00844CB7">
            <w:pPr>
              <w:jc w:val="center"/>
              <w:rPr>
                <w:sz w:val="24"/>
                <w:szCs w:val="24"/>
              </w:rPr>
            </w:pPr>
            <w:r>
              <w:rPr>
                <w:sz w:val="24"/>
                <w:szCs w:val="24"/>
              </w:rPr>
              <w:t xml:space="preserve">Вес, </w:t>
            </w:r>
            <w:proofErr w:type="gramStart"/>
            <w:r>
              <w:rPr>
                <w:sz w:val="24"/>
                <w:szCs w:val="24"/>
              </w:rPr>
              <w:t>кг</w:t>
            </w:r>
            <w:proofErr w:type="gramEnd"/>
          </w:p>
        </w:tc>
      </w:tr>
      <w:tr w:rsidR="003F10E4" w:rsidRPr="007150F4" w:rsidTr="00844CB7">
        <w:tc>
          <w:tcPr>
            <w:tcW w:w="2263" w:type="dxa"/>
            <w:vMerge/>
          </w:tcPr>
          <w:p w:rsidR="003F10E4" w:rsidRPr="007150F4" w:rsidRDefault="003F10E4" w:rsidP="00844CB7">
            <w:pPr>
              <w:jc w:val="center"/>
              <w:rPr>
                <w:sz w:val="24"/>
                <w:szCs w:val="24"/>
              </w:rPr>
            </w:pPr>
          </w:p>
        </w:tc>
        <w:tc>
          <w:tcPr>
            <w:tcW w:w="2360" w:type="dxa"/>
          </w:tcPr>
          <w:p w:rsidR="003F10E4" w:rsidRPr="007150F4" w:rsidRDefault="003F10E4" w:rsidP="00844CB7">
            <w:pPr>
              <w:jc w:val="center"/>
              <w:rPr>
                <w:sz w:val="24"/>
                <w:szCs w:val="24"/>
              </w:rPr>
            </w:pPr>
            <w:r>
              <w:rPr>
                <w:sz w:val="24"/>
                <w:szCs w:val="24"/>
              </w:rPr>
              <w:t>1</w:t>
            </w:r>
          </w:p>
        </w:tc>
        <w:tc>
          <w:tcPr>
            <w:tcW w:w="2361" w:type="dxa"/>
          </w:tcPr>
          <w:p w:rsidR="003F10E4" w:rsidRPr="007150F4" w:rsidRDefault="003F10E4" w:rsidP="00844CB7">
            <w:pPr>
              <w:jc w:val="center"/>
              <w:rPr>
                <w:sz w:val="24"/>
                <w:szCs w:val="24"/>
              </w:rPr>
            </w:pPr>
            <w:r>
              <w:rPr>
                <w:sz w:val="24"/>
                <w:szCs w:val="24"/>
              </w:rPr>
              <w:t>2</w:t>
            </w:r>
          </w:p>
        </w:tc>
        <w:tc>
          <w:tcPr>
            <w:tcW w:w="2361" w:type="dxa"/>
          </w:tcPr>
          <w:p w:rsidR="003F10E4" w:rsidRPr="007150F4" w:rsidRDefault="003F10E4" w:rsidP="00844CB7">
            <w:pPr>
              <w:jc w:val="center"/>
              <w:rPr>
                <w:sz w:val="24"/>
                <w:szCs w:val="24"/>
              </w:rPr>
            </w:pPr>
            <w:r>
              <w:rPr>
                <w:sz w:val="24"/>
                <w:szCs w:val="24"/>
              </w:rPr>
              <w:t>3</w:t>
            </w:r>
          </w:p>
        </w:tc>
      </w:tr>
      <w:tr w:rsidR="003F10E4" w:rsidRPr="007150F4" w:rsidTr="00844CB7">
        <w:tc>
          <w:tcPr>
            <w:tcW w:w="2263" w:type="dxa"/>
            <w:vMerge/>
          </w:tcPr>
          <w:p w:rsidR="003F10E4" w:rsidRPr="007150F4" w:rsidRDefault="003F10E4" w:rsidP="00844CB7">
            <w:pPr>
              <w:jc w:val="center"/>
              <w:rPr>
                <w:sz w:val="24"/>
                <w:szCs w:val="24"/>
              </w:rPr>
            </w:pPr>
          </w:p>
        </w:tc>
        <w:tc>
          <w:tcPr>
            <w:tcW w:w="2360" w:type="dxa"/>
          </w:tcPr>
          <w:p w:rsidR="003F10E4" w:rsidRPr="007150F4" w:rsidRDefault="003F10E4" w:rsidP="00844CB7">
            <w:pPr>
              <w:jc w:val="center"/>
              <w:rPr>
                <w:sz w:val="24"/>
                <w:szCs w:val="24"/>
              </w:rPr>
            </w:pPr>
            <w:r w:rsidRPr="007150F4">
              <w:rPr>
                <w:sz w:val="24"/>
                <w:szCs w:val="24"/>
              </w:rPr>
              <w:t>исходно</w:t>
            </w:r>
          </w:p>
        </w:tc>
        <w:tc>
          <w:tcPr>
            <w:tcW w:w="2361" w:type="dxa"/>
          </w:tcPr>
          <w:p w:rsidR="003F10E4" w:rsidRPr="007150F4" w:rsidRDefault="003F10E4" w:rsidP="00844CB7">
            <w:pPr>
              <w:jc w:val="center"/>
              <w:rPr>
                <w:sz w:val="24"/>
                <w:szCs w:val="24"/>
              </w:rPr>
            </w:pPr>
            <w:r w:rsidRPr="007150F4">
              <w:rPr>
                <w:sz w:val="24"/>
                <w:szCs w:val="24"/>
              </w:rPr>
              <w:t xml:space="preserve">Через 3 </w:t>
            </w:r>
            <w:proofErr w:type="gramStart"/>
            <w:r w:rsidRPr="007150F4">
              <w:rPr>
                <w:sz w:val="24"/>
                <w:szCs w:val="24"/>
              </w:rPr>
              <w:t>мес</w:t>
            </w:r>
            <w:proofErr w:type="gramEnd"/>
          </w:p>
        </w:tc>
        <w:tc>
          <w:tcPr>
            <w:tcW w:w="2361" w:type="dxa"/>
          </w:tcPr>
          <w:p w:rsidR="003F10E4" w:rsidRPr="007150F4" w:rsidRDefault="003F10E4" w:rsidP="00844CB7">
            <w:pPr>
              <w:jc w:val="center"/>
              <w:rPr>
                <w:sz w:val="24"/>
                <w:szCs w:val="24"/>
              </w:rPr>
            </w:pPr>
            <w:r w:rsidRPr="007150F4">
              <w:rPr>
                <w:sz w:val="24"/>
                <w:szCs w:val="24"/>
              </w:rPr>
              <w:t>Через 6 мес.</w:t>
            </w:r>
          </w:p>
        </w:tc>
      </w:tr>
      <w:tr w:rsidR="003F10E4" w:rsidRPr="007150F4" w:rsidTr="00844CB7">
        <w:tc>
          <w:tcPr>
            <w:tcW w:w="2263" w:type="dxa"/>
            <w:vAlign w:val="center"/>
          </w:tcPr>
          <w:p w:rsidR="003F10E4" w:rsidRPr="00BE5BC5" w:rsidRDefault="003F10E4" w:rsidP="00844CB7">
            <w:pPr>
              <w:widowControl w:val="0"/>
              <w:suppressAutoHyphens/>
              <w:rPr>
                <w:sz w:val="24"/>
                <w:szCs w:val="24"/>
              </w:rPr>
            </w:pPr>
            <w:r w:rsidRPr="00BE5BC5">
              <w:rPr>
                <w:sz w:val="24"/>
                <w:szCs w:val="24"/>
              </w:rPr>
              <w:t>Животное 1</w:t>
            </w:r>
          </w:p>
        </w:tc>
        <w:tc>
          <w:tcPr>
            <w:tcW w:w="2360" w:type="dxa"/>
            <w:vAlign w:val="center"/>
          </w:tcPr>
          <w:p w:rsidR="003F10E4" w:rsidRPr="00BE5BC5" w:rsidRDefault="003F10E4" w:rsidP="00844CB7">
            <w:pPr>
              <w:widowControl w:val="0"/>
              <w:suppressAutoHyphens/>
              <w:jc w:val="center"/>
              <w:rPr>
                <w:sz w:val="24"/>
                <w:szCs w:val="24"/>
              </w:rPr>
            </w:pPr>
            <w:r w:rsidRPr="00BE5BC5">
              <w:rPr>
                <w:sz w:val="24"/>
                <w:szCs w:val="24"/>
              </w:rPr>
              <w:t>88</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110</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120</w:t>
            </w:r>
          </w:p>
        </w:tc>
      </w:tr>
      <w:tr w:rsidR="003F10E4" w:rsidRPr="007150F4" w:rsidTr="00844CB7">
        <w:tc>
          <w:tcPr>
            <w:tcW w:w="2263" w:type="dxa"/>
            <w:vAlign w:val="center"/>
          </w:tcPr>
          <w:p w:rsidR="003F10E4" w:rsidRPr="00BE5BC5" w:rsidRDefault="003F10E4" w:rsidP="00844CB7">
            <w:pPr>
              <w:widowControl w:val="0"/>
              <w:suppressAutoHyphens/>
              <w:rPr>
                <w:sz w:val="24"/>
                <w:szCs w:val="24"/>
              </w:rPr>
            </w:pPr>
            <w:r w:rsidRPr="00BE5BC5">
              <w:rPr>
                <w:sz w:val="24"/>
                <w:szCs w:val="24"/>
              </w:rPr>
              <w:t>Животное 2</w:t>
            </w:r>
          </w:p>
        </w:tc>
        <w:tc>
          <w:tcPr>
            <w:tcW w:w="2360" w:type="dxa"/>
            <w:vAlign w:val="center"/>
          </w:tcPr>
          <w:p w:rsidR="003F10E4" w:rsidRPr="00BE5BC5" w:rsidRDefault="003F10E4" w:rsidP="00844CB7">
            <w:pPr>
              <w:widowControl w:val="0"/>
              <w:suppressAutoHyphens/>
              <w:jc w:val="center"/>
              <w:rPr>
                <w:sz w:val="24"/>
                <w:szCs w:val="24"/>
              </w:rPr>
            </w:pPr>
            <w:r w:rsidRPr="00BE5BC5">
              <w:rPr>
                <w:sz w:val="24"/>
                <w:szCs w:val="24"/>
              </w:rPr>
              <w:t>93</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114</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126</w:t>
            </w:r>
          </w:p>
        </w:tc>
      </w:tr>
      <w:tr w:rsidR="003F10E4" w:rsidRPr="007150F4" w:rsidTr="00844CB7">
        <w:tc>
          <w:tcPr>
            <w:tcW w:w="2263" w:type="dxa"/>
            <w:vAlign w:val="center"/>
          </w:tcPr>
          <w:p w:rsidR="003F10E4" w:rsidRPr="00BE5BC5" w:rsidRDefault="003F10E4" w:rsidP="00844CB7">
            <w:pPr>
              <w:widowControl w:val="0"/>
              <w:suppressAutoHyphens/>
              <w:rPr>
                <w:sz w:val="24"/>
                <w:szCs w:val="24"/>
              </w:rPr>
            </w:pPr>
            <w:r w:rsidRPr="00BE5BC5">
              <w:rPr>
                <w:sz w:val="24"/>
                <w:szCs w:val="24"/>
              </w:rPr>
              <w:t>Животное 3</w:t>
            </w:r>
          </w:p>
        </w:tc>
        <w:tc>
          <w:tcPr>
            <w:tcW w:w="2360" w:type="dxa"/>
            <w:vAlign w:val="center"/>
          </w:tcPr>
          <w:p w:rsidR="003F10E4" w:rsidRPr="00BE5BC5" w:rsidRDefault="003F10E4" w:rsidP="00844CB7">
            <w:pPr>
              <w:widowControl w:val="0"/>
              <w:suppressAutoHyphens/>
              <w:jc w:val="center"/>
              <w:rPr>
                <w:sz w:val="24"/>
                <w:szCs w:val="24"/>
              </w:rPr>
            </w:pPr>
            <w:r w:rsidRPr="00BE5BC5">
              <w:rPr>
                <w:sz w:val="24"/>
                <w:szCs w:val="24"/>
              </w:rPr>
              <w:t>92</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112</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122</w:t>
            </w:r>
          </w:p>
        </w:tc>
      </w:tr>
      <w:tr w:rsidR="003F10E4" w:rsidRPr="007150F4" w:rsidTr="00844CB7">
        <w:tc>
          <w:tcPr>
            <w:tcW w:w="2263" w:type="dxa"/>
            <w:vAlign w:val="center"/>
          </w:tcPr>
          <w:p w:rsidR="003F10E4" w:rsidRPr="00BE5BC5" w:rsidRDefault="003F10E4" w:rsidP="00844CB7">
            <w:pPr>
              <w:widowControl w:val="0"/>
              <w:suppressAutoHyphens/>
              <w:rPr>
                <w:sz w:val="24"/>
                <w:szCs w:val="24"/>
              </w:rPr>
            </w:pPr>
            <w:r w:rsidRPr="00BE5BC5">
              <w:rPr>
                <w:sz w:val="24"/>
                <w:szCs w:val="24"/>
              </w:rPr>
              <w:t>Животное 4</w:t>
            </w:r>
          </w:p>
        </w:tc>
        <w:tc>
          <w:tcPr>
            <w:tcW w:w="2360" w:type="dxa"/>
            <w:vAlign w:val="center"/>
          </w:tcPr>
          <w:p w:rsidR="003F10E4" w:rsidRPr="00BE5BC5" w:rsidRDefault="003F10E4" w:rsidP="00844CB7">
            <w:pPr>
              <w:widowControl w:val="0"/>
              <w:suppressAutoHyphens/>
              <w:jc w:val="center"/>
              <w:rPr>
                <w:sz w:val="24"/>
                <w:szCs w:val="24"/>
              </w:rPr>
            </w:pPr>
            <w:r w:rsidRPr="00BE5BC5">
              <w:rPr>
                <w:sz w:val="24"/>
                <w:szCs w:val="24"/>
              </w:rPr>
              <w:t>95</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115</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129</w:t>
            </w:r>
          </w:p>
        </w:tc>
      </w:tr>
      <w:tr w:rsidR="003F10E4" w:rsidRPr="007150F4" w:rsidTr="00844CB7">
        <w:tc>
          <w:tcPr>
            <w:tcW w:w="2263" w:type="dxa"/>
            <w:vAlign w:val="center"/>
          </w:tcPr>
          <w:p w:rsidR="003F10E4" w:rsidRPr="00BE5BC5" w:rsidRDefault="003F10E4" w:rsidP="00844CB7">
            <w:pPr>
              <w:widowControl w:val="0"/>
              <w:suppressAutoHyphens/>
              <w:rPr>
                <w:sz w:val="24"/>
                <w:szCs w:val="24"/>
              </w:rPr>
            </w:pPr>
            <w:r w:rsidRPr="00BE5BC5">
              <w:rPr>
                <w:sz w:val="24"/>
                <w:szCs w:val="24"/>
              </w:rPr>
              <w:t>Животное 5</w:t>
            </w:r>
          </w:p>
        </w:tc>
        <w:tc>
          <w:tcPr>
            <w:tcW w:w="2360" w:type="dxa"/>
            <w:vAlign w:val="center"/>
          </w:tcPr>
          <w:p w:rsidR="003F10E4" w:rsidRPr="00BE5BC5" w:rsidRDefault="003F10E4" w:rsidP="00844CB7">
            <w:pPr>
              <w:widowControl w:val="0"/>
              <w:suppressAutoHyphens/>
              <w:jc w:val="center"/>
              <w:rPr>
                <w:sz w:val="24"/>
                <w:szCs w:val="24"/>
              </w:rPr>
            </w:pPr>
            <w:r w:rsidRPr="00BE5BC5">
              <w:rPr>
                <w:sz w:val="24"/>
                <w:szCs w:val="24"/>
              </w:rPr>
              <w:t>96</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112</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125</w:t>
            </w:r>
          </w:p>
        </w:tc>
      </w:tr>
      <w:tr w:rsidR="003F10E4" w:rsidRPr="007150F4" w:rsidTr="00844CB7">
        <w:tc>
          <w:tcPr>
            <w:tcW w:w="2263" w:type="dxa"/>
            <w:vAlign w:val="center"/>
          </w:tcPr>
          <w:p w:rsidR="003F10E4" w:rsidRPr="00BE5BC5" w:rsidRDefault="003F10E4" w:rsidP="00844CB7">
            <w:pPr>
              <w:widowControl w:val="0"/>
              <w:suppressAutoHyphens/>
              <w:rPr>
                <w:sz w:val="24"/>
                <w:szCs w:val="24"/>
              </w:rPr>
            </w:pPr>
            <w:r w:rsidRPr="00BE5BC5">
              <w:rPr>
                <w:sz w:val="24"/>
                <w:szCs w:val="24"/>
              </w:rPr>
              <w:t>Животное 6</w:t>
            </w:r>
          </w:p>
        </w:tc>
        <w:tc>
          <w:tcPr>
            <w:tcW w:w="2360" w:type="dxa"/>
            <w:vAlign w:val="center"/>
          </w:tcPr>
          <w:p w:rsidR="003F10E4" w:rsidRPr="00BE5BC5" w:rsidRDefault="003F10E4" w:rsidP="00844CB7">
            <w:pPr>
              <w:widowControl w:val="0"/>
              <w:suppressAutoHyphens/>
              <w:jc w:val="center"/>
              <w:rPr>
                <w:sz w:val="24"/>
                <w:szCs w:val="24"/>
              </w:rPr>
            </w:pPr>
            <w:r w:rsidRPr="00BE5BC5">
              <w:rPr>
                <w:sz w:val="24"/>
                <w:szCs w:val="24"/>
              </w:rPr>
              <w:t>90</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114</w:t>
            </w:r>
          </w:p>
        </w:tc>
        <w:tc>
          <w:tcPr>
            <w:tcW w:w="2361" w:type="dxa"/>
            <w:vAlign w:val="center"/>
          </w:tcPr>
          <w:p w:rsidR="003F10E4" w:rsidRPr="00BE5BC5" w:rsidRDefault="003F10E4" w:rsidP="00844CB7">
            <w:pPr>
              <w:widowControl w:val="0"/>
              <w:suppressAutoHyphens/>
              <w:jc w:val="center"/>
              <w:rPr>
                <w:sz w:val="24"/>
                <w:szCs w:val="24"/>
              </w:rPr>
            </w:pPr>
            <w:r w:rsidRPr="00BE5BC5">
              <w:rPr>
                <w:sz w:val="24"/>
                <w:szCs w:val="24"/>
              </w:rPr>
              <w:t>128</w:t>
            </w:r>
          </w:p>
        </w:tc>
      </w:tr>
      <w:tr w:rsidR="003F10E4" w:rsidRPr="007150F4" w:rsidTr="00844CB7">
        <w:tc>
          <w:tcPr>
            <w:tcW w:w="2263" w:type="dxa"/>
            <w:vAlign w:val="center"/>
          </w:tcPr>
          <w:p w:rsidR="003F10E4" w:rsidRPr="007150F4" w:rsidRDefault="003F10E4" w:rsidP="00844CB7">
            <w:pPr>
              <w:widowControl w:val="0"/>
              <w:suppressAutoHyphens/>
              <w:rPr>
                <w:sz w:val="24"/>
                <w:szCs w:val="24"/>
              </w:rPr>
            </w:pPr>
            <w:r>
              <w:rPr>
                <w:sz w:val="24"/>
                <w:szCs w:val="24"/>
              </w:rPr>
              <w:t>Р</w:t>
            </w:r>
            <w:r w:rsidRPr="007150F4">
              <w:rPr>
                <w:sz w:val="24"/>
                <w:szCs w:val="24"/>
                <w:vertAlign w:val="subscript"/>
              </w:rPr>
              <w:t>1-2</w:t>
            </w:r>
          </w:p>
        </w:tc>
        <w:tc>
          <w:tcPr>
            <w:tcW w:w="7082" w:type="dxa"/>
            <w:gridSpan w:val="3"/>
            <w:vAlign w:val="center"/>
          </w:tcPr>
          <w:p w:rsidR="003F10E4" w:rsidRPr="00BE5BC5" w:rsidRDefault="003F10E4" w:rsidP="00844CB7">
            <w:pPr>
              <w:widowControl w:val="0"/>
              <w:suppressAutoHyphens/>
              <w:jc w:val="center"/>
              <w:rPr>
                <w:sz w:val="24"/>
                <w:szCs w:val="24"/>
              </w:rPr>
            </w:pPr>
            <w:r>
              <w:rPr>
                <w:rFonts w:cs="Times New Roman"/>
                <w:sz w:val="24"/>
                <w:szCs w:val="24"/>
              </w:rPr>
              <w:t>&lt;</w:t>
            </w:r>
            <w:r>
              <w:rPr>
                <w:sz w:val="24"/>
                <w:szCs w:val="24"/>
              </w:rPr>
              <w:t>0,05 (Тэмп.=0, Т кр.=2) зона достоверности</w:t>
            </w:r>
          </w:p>
        </w:tc>
      </w:tr>
      <w:tr w:rsidR="003F10E4" w:rsidRPr="007150F4" w:rsidTr="00844CB7">
        <w:tc>
          <w:tcPr>
            <w:tcW w:w="9345" w:type="dxa"/>
            <w:gridSpan w:val="4"/>
            <w:vAlign w:val="center"/>
          </w:tcPr>
          <w:p w:rsidR="003F10E4" w:rsidRDefault="003F10E4" w:rsidP="00844CB7">
            <w:pPr>
              <w:widowControl w:val="0"/>
              <w:suppressAutoHyphens/>
              <w:jc w:val="right"/>
              <w:rPr>
                <w:rFonts w:cs="Times New Roman"/>
                <w:sz w:val="24"/>
                <w:szCs w:val="24"/>
              </w:rPr>
            </w:pPr>
            <w:r>
              <w:rPr>
                <w:rFonts w:cs="Times New Roman"/>
                <w:sz w:val="24"/>
                <w:szCs w:val="24"/>
              </w:rPr>
              <w:t>Продолжение табл. 11</w:t>
            </w:r>
          </w:p>
        </w:tc>
      </w:tr>
      <w:tr w:rsidR="003F10E4" w:rsidRPr="007150F4" w:rsidTr="00844CB7">
        <w:tc>
          <w:tcPr>
            <w:tcW w:w="2263" w:type="dxa"/>
            <w:vAlign w:val="center"/>
          </w:tcPr>
          <w:p w:rsidR="003F10E4" w:rsidRDefault="003F10E4" w:rsidP="00844CB7">
            <w:pPr>
              <w:widowControl w:val="0"/>
              <w:suppressAutoHyphens/>
              <w:rPr>
                <w:sz w:val="24"/>
                <w:szCs w:val="24"/>
              </w:rPr>
            </w:pPr>
            <w:r>
              <w:rPr>
                <w:sz w:val="24"/>
                <w:szCs w:val="24"/>
              </w:rPr>
              <w:t>Р</w:t>
            </w:r>
            <w:r w:rsidRPr="007150F4">
              <w:rPr>
                <w:sz w:val="24"/>
                <w:szCs w:val="24"/>
                <w:vertAlign w:val="subscript"/>
              </w:rPr>
              <w:t>1-3</w:t>
            </w:r>
          </w:p>
        </w:tc>
        <w:tc>
          <w:tcPr>
            <w:tcW w:w="7082" w:type="dxa"/>
            <w:gridSpan w:val="3"/>
            <w:vAlign w:val="center"/>
          </w:tcPr>
          <w:p w:rsidR="003F10E4" w:rsidRPr="00BE5BC5" w:rsidRDefault="003F10E4" w:rsidP="00844CB7">
            <w:pPr>
              <w:widowControl w:val="0"/>
              <w:suppressAutoHyphens/>
              <w:jc w:val="center"/>
              <w:rPr>
                <w:sz w:val="24"/>
                <w:szCs w:val="24"/>
              </w:rPr>
            </w:pPr>
            <w:r>
              <w:rPr>
                <w:rFonts w:cs="Times New Roman"/>
                <w:sz w:val="24"/>
                <w:szCs w:val="24"/>
              </w:rPr>
              <w:t>&lt;</w:t>
            </w:r>
            <w:r>
              <w:rPr>
                <w:sz w:val="24"/>
                <w:szCs w:val="24"/>
              </w:rPr>
              <w:t>0,05 (Тэмп.=0, Т кр.=2) зона достоверности</w:t>
            </w:r>
          </w:p>
        </w:tc>
      </w:tr>
      <w:tr w:rsidR="003F10E4" w:rsidRPr="007150F4" w:rsidTr="00844CB7">
        <w:tc>
          <w:tcPr>
            <w:tcW w:w="2263" w:type="dxa"/>
            <w:vAlign w:val="center"/>
          </w:tcPr>
          <w:p w:rsidR="003F10E4" w:rsidRDefault="003F10E4" w:rsidP="00844CB7">
            <w:pPr>
              <w:widowControl w:val="0"/>
              <w:suppressAutoHyphens/>
              <w:rPr>
                <w:sz w:val="24"/>
                <w:szCs w:val="24"/>
              </w:rPr>
            </w:pPr>
            <w:r>
              <w:rPr>
                <w:sz w:val="24"/>
                <w:szCs w:val="24"/>
              </w:rPr>
              <w:t>Р</w:t>
            </w:r>
            <w:r w:rsidRPr="007150F4">
              <w:rPr>
                <w:sz w:val="24"/>
                <w:szCs w:val="24"/>
                <w:vertAlign w:val="subscript"/>
              </w:rPr>
              <w:t>2-3</w:t>
            </w:r>
          </w:p>
        </w:tc>
        <w:tc>
          <w:tcPr>
            <w:tcW w:w="7082" w:type="dxa"/>
            <w:gridSpan w:val="3"/>
            <w:vAlign w:val="center"/>
          </w:tcPr>
          <w:p w:rsidR="003F10E4" w:rsidRPr="00BE5BC5" w:rsidRDefault="003F10E4" w:rsidP="00844CB7">
            <w:pPr>
              <w:widowControl w:val="0"/>
              <w:suppressAutoHyphens/>
              <w:jc w:val="center"/>
              <w:rPr>
                <w:sz w:val="24"/>
                <w:szCs w:val="24"/>
              </w:rPr>
            </w:pPr>
            <w:r>
              <w:rPr>
                <w:rFonts w:cs="Times New Roman"/>
                <w:sz w:val="24"/>
                <w:szCs w:val="24"/>
              </w:rPr>
              <w:t>&lt;</w:t>
            </w:r>
            <w:r>
              <w:rPr>
                <w:sz w:val="24"/>
                <w:szCs w:val="24"/>
              </w:rPr>
              <w:t>0,05 (Тэмп.=0, Т кр.=2) зона достоверности</w:t>
            </w:r>
          </w:p>
        </w:tc>
      </w:tr>
    </w:tbl>
    <w:p w:rsidR="003F10E4" w:rsidRDefault="003F10E4" w:rsidP="003F10E4">
      <w:pPr>
        <w:jc w:val="center"/>
      </w:pPr>
    </w:p>
    <w:p w:rsidR="003F10E4" w:rsidRDefault="003F10E4" w:rsidP="003F10E4">
      <w:pPr>
        <w:ind w:firstLine="708"/>
      </w:pPr>
      <w:r>
        <w:t>Таким образом, проведенный анализ позволил установить, что за время катамнестичского наблюдения вес экспериментальных животных достоверно увеличился, что свидетельствует о благоприятном течении послеоперационного периоде</w:t>
      </w:r>
    </w:p>
    <w:p w:rsidR="003F10E4" w:rsidRDefault="003F10E4" w:rsidP="003F10E4"/>
    <w:p w:rsidR="003F10E4" w:rsidRDefault="003F10E4" w:rsidP="003F10E4">
      <w:pPr>
        <w:tabs>
          <w:tab w:val="left" w:pos="2190"/>
        </w:tabs>
        <w:jc w:val="center"/>
        <w:rPr>
          <w:b/>
        </w:rPr>
      </w:pPr>
      <w:r>
        <w:rPr>
          <w:b/>
        </w:rPr>
        <w:t>3</w:t>
      </w:r>
      <w:r w:rsidRPr="00693E4C">
        <w:rPr>
          <w:b/>
        </w:rPr>
        <w:t>.3. Анализ результатов гематологических показателей</w:t>
      </w:r>
    </w:p>
    <w:p w:rsidR="003F10E4" w:rsidRDefault="003F10E4" w:rsidP="003F10E4">
      <w:r>
        <w:tab/>
      </w:r>
      <w:r w:rsidRPr="00D43AEC">
        <w:t xml:space="preserve">С целью выявления воспалительных реакций </w:t>
      </w:r>
      <w:r>
        <w:t>в послеоперационном периоде, а также исключения скрытых кровопотерь была проанализирована динамика показателей клинического анализа крови экспериментальных животных. Исходные показатели представлены в таблице 12.</w:t>
      </w:r>
    </w:p>
    <w:p w:rsidR="003F10E4" w:rsidRPr="00677F3A" w:rsidRDefault="003F10E4" w:rsidP="003F10E4">
      <w:pPr>
        <w:jc w:val="right"/>
      </w:pPr>
      <w:r w:rsidRPr="00C841B6">
        <w:t xml:space="preserve">Таблица </w:t>
      </w:r>
      <w:fldSimple w:instr=" SEQ Таблица \* ARABIC ">
        <w:r>
          <w:rPr>
            <w:noProof/>
          </w:rPr>
          <w:t>12</w:t>
        </w:r>
      </w:fldSimple>
    </w:p>
    <w:p w:rsidR="003F10E4" w:rsidRPr="00C841B6" w:rsidRDefault="003F10E4" w:rsidP="003F10E4">
      <w:pPr>
        <w:jc w:val="center"/>
      </w:pPr>
      <w:r w:rsidRPr="00C841B6">
        <w:t>Исходные показатели</w:t>
      </w:r>
      <w:r>
        <w:t xml:space="preserve"> клинического анализа крови экспериментальных животных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1"/>
        <w:gridCol w:w="1919"/>
        <w:gridCol w:w="1906"/>
        <w:gridCol w:w="1895"/>
        <w:gridCol w:w="1930"/>
      </w:tblGrid>
      <w:tr w:rsidR="003F10E4" w:rsidRPr="00D43AEC" w:rsidTr="00844CB7">
        <w:tc>
          <w:tcPr>
            <w:tcW w:w="2027" w:type="dxa"/>
            <w:vMerge w:val="restart"/>
            <w:shd w:val="clear" w:color="auto" w:fill="auto"/>
          </w:tcPr>
          <w:p w:rsidR="003F10E4" w:rsidRPr="00D43AEC" w:rsidRDefault="003F10E4" w:rsidP="00844CB7">
            <w:pPr>
              <w:rPr>
                <w:sz w:val="24"/>
                <w:szCs w:val="24"/>
              </w:rPr>
            </w:pPr>
            <w:r w:rsidRPr="00D43AEC">
              <w:rPr>
                <w:sz w:val="24"/>
                <w:szCs w:val="24"/>
              </w:rPr>
              <w:t>Группа животных</w:t>
            </w:r>
          </w:p>
        </w:tc>
        <w:tc>
          <w:tcPr>
            <w:tcW w:w="8110" w:type="dxa"/>
            <w:gridSpan w:val="4"/>
            <w:shd w:val="clear" w:color="auto" w:fill="auto"/>
            <w:vAlign w:val="center"/>
          </w:tcPr>
          <w:p w:rsidR="003F10E4" w:rsidRPr="00D43AEC" w:rsidRDefault="003F10E4" w:rsidP="00844CB7">
            <w:pPr>
              <w:jc w:val="center"/>
              <w:rPr>
                <w:sz w:val="24"/>
                <w:szCs w:val="24"/>
              </w:rPr>
            </w:pPr>
            <w:r w:rsidRPr="00D43AEC">
              <w:rPr>
                <w:sz w:val="24"/>
                <w:szCs w:val="24"/>
              </w:rPr>
              <w:t>Показатели</w:t>
            </w:r>
          </w:p>
        </w:tc>
      </w:tr>
      <w:tr w:rsidR="003F10E4" w:rsidRPr="00D43AEC" w:rsidTr="00844CB7">
        <w:tc>
          <w:tcPr>
            <w:tcW w:w="2027" w:type="dxa"/>
            <w:vMerge/>
            <w:shd w:val="clear" w:color="auto" w:fill="auto"/>
          </w:tcPr>
          <w:p w:rsidR="003F10E4" w:rsidRPr="00D43AEC" w:rsidRDefault="003F10E4" w:rsidP="00844CB7">
            <w:pPr>
              <w:rPr>
                <w:sz w:val="24"/>
                <w:szCs w:val="24"/>
              </w:rPr>
            </w:pPr>
          </w:p>
        </w:tc>
        <w:tc>
          <w:tcPr>
            <w:tcW w:w="2027" w:type="dxa"/>
            <w:shd w:val="clear" w:color="auto" w:fill="auto"/>
            <w:vAlign w:val="center"/>
          </w:tcPr>
          <w:p w:rsidR="003F10E4" w:rsidRPr="00D43AEC" w:rsidRDefault="003F10E4" w:rsidP="00844CB7">
            <w:pPr>
              <w:rPr>
                <w:sz w:val="24"/>
                <w:szCs w:val="24"/>
              </w:rPr>
            </w:pPr>
            <w:r w:rsidRPr="00D43AEC">
              <w:rPr>
                <w:sz w:val="24"/>
                <w:szCs w:val="24"/>
              </w:rPr>
              <w:t xml:space="preserve">Количество эритроцитов, </w:t>
            </w:r>
          </w:p>
          <w:p w:rsidR="003F10E4" w:rsidRPr="00D43AEC" w:rsidRDefault="003F10E4" w:rsidP="00844CB7">
            <w:pPr>
              <w:rPr>
                <w:sz w:val="24"/>
                <w:szCs w:val="24"/>
              </w:rPr>
            </w:pPr>
            <w:r w:rsidRPr="00D43AEC">
              <w:rPr>
                <w:sz w:val="24"/>
                <w:szCs w:val="24"/>
              </w:rPr>
              <w:t>×10</w:t>
            </w:r>
            <w:r w:rsidRPr="00D43AEC">
              <w:rPr>
                <w:sz w:val="24"/>
                <w:szCs w:val="24"/>
                <w:vertAlign w:val="superscript"/>
              </w:rPr>
              <w:t>6</w:t>
            </w:r>
            <w:r w:rsidRPr="00D43AEC">
              <w:rPr>
                <w:sz w:val="24"/>
                <w:szCs w:val="24"/>
              </w:rPr>
              <w:t>/мм</w:t>
            </w:r>
            <w:r w:rsidRPr="00D43AEC">
              <w:rPr>
                <w:sz w:val="24"/>
                <w:szCs w:val="24"/>
                <w:vertAlign w:val="superscript"/>
              </w:rPr>
              <w:t>3</w:t>
            </w:r>
          </w:p>
        </w:tc>
        <w:tc>
          <w:tcPr>
            <w:tcW w:w="2027" w:type="dxa"/>
            <w:shd w:val="clear" w:color="auto" w:fill="auto"/>
            <w:vAlign w:val="center"/>
          </w:tcPr>
          <w:p w:rsidR="003F10E4" w:rsidRPr="00D43AEC" w:rsidRDefault="003F10E4" w:rsidP="00844CB7">
            <w:pPr>
              <w:rPr>
                <w:sz w:val="24"/>
                <w:szCs w:val="24"/>
              </w:rPr>
            </w:pPr>
            <w:r w:rsidRPr="00D43AEC">
              <w:rPr>
                <w:sz w:val="24"/>
                <w:szCs w:val="24"/>
              </w:rPr>
              <w:t xml:space="preserve">Гемоглобин, </w:t>
            </w:r>
            <w:proofErr w:type="gramStart"/>
            <w:r w:rsidRPr="00D43AEC">
              <w:rPr>
                <w:sz w:val="24"/>
                <w:szCs w:val="24"/>
              </w:rPr>
              <w:t>г</w:t>
            </w:r>
            <w:proofErr w:type="gramEnd"/>
            <w:r w:rsidRPr="00D43AEC">
              <w:rPr>
                <w:sz w:val="24"/>
                <w:szCs w:val="24"/>
              </w:rPr>
              <w:t>/л</w:t>
            </w:r>
          </w:p>
        </w:tc>
        <w:tc>
          <w:tcPr>
            <w:tcW w:w="2028" w:type="dxa"/>
            <w:shd w:val="clear" w:color="auto" w:fill="auto"/>
            <w:vAlign w:val="center"/>
          </w:tcPr>
          <w:p w:rsidR="003F10E4" w:rsidRPr="00D43AEC" w:rsidRDefault="003F10E4" w:rsidP="00844CB7">
            <w:pPr>
              <w:rPr>
                <w:sz w:val="24"/>
                <w:szCs w:val="24"/>
              </w:rPr>
            </w:pPr>
            <w:r w:rsidRPr="00D43AEC">
              <w:rPr>
                <w:sz w:val="24"/>
                <w:szCs w:val="24"/>
              </w:rPr>
              <w:t xml:space="preserve">Количество лейкоцитов, </w:t>
            </w:r>
          </w:p>
          <w:p w:rsidR="003F10E4" w:rsidRPr="00D43AEC" w:rsidRDefault="003F10E4" w:rsidP="00844CB7">
            <w:pPr>
              <w:rPr>
                <w:sz w:val="24"/>
                <w:szCs w:val="24"/>
              </w:rPr>
            </w:pPr>
            <w:r w:rsidRPr="00D43AEC">
              <w:rPr>
                <w:sz w:val="24"/>
                <w:szCs w:val="24"/>
              </w:rPr>
              <w:t>×10</w:t>
            </w:r>
            <w:r w:rsidRPr="00D43AEC">
              <w:rPr>
                <w:sz w:val="24"/>
                <w:szCs w:val="24"/>
                <w:vertAlign w:val="superscript"/>
              </w:rPr>
              <w:t>3</w:t>
            </w:r>
            <w:r w:rsidRPr="00D43AEC">
              <w:rPr>
                <w:sz w:val="24"/>
                <w:szCs w:val="24"/>
              </w:rPr>
              <w:t>/мм</w:t>
            </w:r>
            <w:r w:rsidRPr="00D43AEC">
              <w:rPr>
                <w:sz w:val="24"/>
                <w:szCs w:val="24"/>
                <w:vertAlign w:val="superscript"/>
              </w:rPr>
              <w:t>3</w:t>
            </w:r>
          </w:p>
        </w:tc>
        <w:tc>
          <w:tcPr>
            <w:tcW w:w="2028" w:type="dxa"/>
            <w:shd w:val="clear" w:color="auto" w:fill="auto"/>
            <w:vAlign w:val="center"/>
          </w:tcPr>
          <w:p w:rsidR="003F10E4" w:rsidRPr="00D43AEC" w:rsidRDefault="003F10E4" w:rsidP="00844CB7">
            <w:pPr>
              <w:rPr>
                <w:sz w:val="24"/>
                <w:szCs w:val="24"/>
              </w:rPr>
            </w:pPr>
            <w:r w:rsidRPr="00D43AEC">
              <w:rPr>
                <w:sz w:val="24"/>
                <w:szCs w:val="24"/>
              </w:rPr>
              <w:t xml:space="preserve">Количество тромбоцитов, </w:t>
            </w:r>
          </w:p>
          <w:p w:rsidR="003F10E4" w:rsidRPr="00D43AEC" w:rsidRDefault="003F10E4" w:rsidP="00844CB7">
            <w:pPr>
              <w:rPr>
                <w:sz w:val="24"/>
                <w:szCs w:val="24"/>
              </w:rPr>
            </w:pPr>
            <w:r w:rsidRPr="00D43AEC">
              <w:rPr>
                <w:sz w:val="24"/>
                <w:szCs w:val="24"/>
              </w:rPr>
              <w:t>×10</w:t>
            </w:r>
            <w:r w:rsidRPr="00D43AEC">
              <w:rPr>
                <w:sz w:val="24"/>
                <w:szCs w:val="24"/>
                <w:vertAlign w:val="superscript"/>
              </w:rPr>
              <w:t>3</w:t>
            </w:r>
            <w:r w:rsidRPr="00D43AEC">
              <w:rPr>
                <w:sz w:val="24"/>
                <w:szCs w:val="24"/>
              </w:rPr>
              <w:t>/мм</w:t>
            </w:r>
            <w:r w:rsidRPr="00D43AEC">
              <w:rPr>
                <w:sz w:val="24"/>
                <w:szCs w:val="24"/>
                <w:vertAlign w:val="superscript"/>
              </w:rPr>
              <w:t>3</w:t>
            </w:r>
          </w:p>
        </w:tc>
      </w:tr>
      <w:tr w:rsidR="003F10E4" w:rsidRPr="00D43AEC" w:rsidTr="00844CB7">
        <w:tc>
          <w:tcPr>
            <w:tcW w:w="2027" w:type="dxa"/>
            <w:shd w:val="clear" w:color="auto" w:fill="auto"/>
          </w:tcPr>
          <w:p w:rsidR="003F10E4" w:rsidRPr="00D43AEC" w:rsidRDefault="003F10E4" w:rsidP="00844CB7">
            <w:pPr>
              <w:rPr>
                <w:sz w:val="24"/>
                <w:szCs w:val="24"/>
              </w:rPr>
            </w:pPr>
            <w:r w:rsidRPr="00D43AEC">
              <w:rPr>
                <w:sz w:val="24"/>
                <w:szCs w:val="24"/>
              </w:rPr>
              <w:t>Референсные значения</w:t>
            </w:r>
          </w:p>
        </w:tc>
        <w:tc>
          <w:tcPr>
            <w:tcW w:w="2027" w:type="dxa"/>
            <w:shd w:val="clear" w:color="auto" w:fill="auto"/>
            <w:vAlign w:val="center"/>
          </w:tcPr>
          <w:p w:rsidR="003F10E4" w:rsidRPr="00D43AEC" w:rsidRDefault="003F10E4" w:rsidP="00844CB7">
            <w:pPr>
              <w:jc w:val="center"/>
              <w:rPr>
                <w:sz w:val="24"/>
                <w:szCs w:val="24"/>
              </w:rPr>
            </w:pPr>
            <w:r w:rsidRPr="00D43AEC">
              <w:rPr>
                <w:sz w:val="24"/>
                <w:szCs w:val="24"/>
              </w:rPr>
              <w:t>5-8</w:t>
            </w:r>
          </w:p>
        </w:tc>
        <w:tc>
          <w:tcPr>
            <w:tcW w:w="2028" w:type="dxa"/>
            <w:shd w:val="clear" w:color="auto" w:fill="auto"/>
            <w:vAlign w:val="center"/>
          </w:tcPr>
          <w:p w:rsidR="003F10E4" w:rsidRPr="00D43AEC" w:rsidRDefault="003F10E4" w:rsidP="00844CB7">
            <w:pPr>
              <w:jc w:val="center"/>
              <w:rPr>
                <w:sz w:val="24"/>
                <w:szCs w:val="24"/>
              </w:rPr>
            </w:pPr>
            <w:r w:rsidRPr="00D43AEC">
              <w:rPr>
                <w:sz w:val="24"/>
                <w:szCs w:val="24"/>
              </w:rPr>
              <w:t>100-140</w:t>
            </w:r>
          </w:p>
        </w:tc>
        <w:tc>
          <w:tcPr>
            <w:tcW w:w="2027" w:type="dxa"/>
            <w:shd w:val="clear" w:color="auto" w:fill="auto"/>
            <w:vAlign w:val="center"/>
          </w:tcPr>
          <w:p w:rsidR="003F10E4" w:rsidRPr="00D43AEC" w:rsidRDefault="003F10E4" w:rsidP="00844CB7">
            <w:pPr>
              <w:jc w:val="center"/>
              <w:rPr>
                <w:sz w:val="24"/>
                <w:szCs w:val="24"/>
              </w:rPr>
            </w:pPr>
            <w:r w:rsidRPr="00D43AEC">
              <w:rPr>
                <w:sz w:val="24"/>
                <w:szCs w:val="24"/>
              </w:rPr>
              <w:t>7-20</w:t>
            </w:r>
          </w:p>
        </w:tc>
        <w:tc>
          <w:tcPr>
            <w:tcW w:w="2028" w:type="dxa"/>
            <w:shd w:val="clear" w:color="auto" w:fill="auto"/>
            <w:vAlign w:val="center"/>
          </w:tcPr>
          <w:p w:rsidR="003F10E4" w:rsidRPr="00D43AEC" w:rsidRDefault="003F10E4" w:rsidP="00844CB7">
            <w:pPr>
              <w:jc w:val="center"/>
              <w:rPr>
                <w:sz w:val="24"/>
                <w:szCs w:val="24"/>
              </w:rPr>
            </w:pPr>
            <w:r w:rsidRPr="00D43AEC">
              <w:rPr>
                <w:sz w:val="24"/>
                <w:szCs w:val="24"/>
              </w:rPr>
              <w:t>296-616</w:t>
            </w:r>
          </w:p>
        </w:tc>
      </w:tr>
      <w:tr w:rsidR="003F10E4" w:rsidRPr="00D43AEC" w:rsidTr="00844CB7">
        <w:tc>
          <w:tcPr>
            <w:tcW w:w="2027" w:type="dxa"/>
            <w:shd w:val="clear" w:color="auto" w:fill="auto"/>
          </w:tcPr>
          <w:p w:rsidR="003F10E4" w:rsidRPr="00D43AEC" w:rsidRDefault="003F10E4" w:rsidP="00844CB7">
            <w:pPr>
              <w:rPr>
                <w:sz w:val="24"/>
                <w:szCs w:val="24"/>
              </w:rPr>
            </w:pPr>
            <w:r w:rsidRPr="00D43AEC">
              <w:rPr>
                <w:sz w:val="24"/>
                <w:szCs w:val="24"/>
              </w:rPr>
              <w:lastRenderedPageBreak/>
              <w:t xml:space="preserve">Интактные животные (исходное состояние), </w:t>
            </w:r>
            <w:r w:rsidRPr="00D43AEC">
              <w:rPr>
                <w:sz w:val="24"/>
                <w:szCs w:val="24"/>
                <w:lang w:val="en-US"/>
              </w:rPr>
              <w:t>n</w:t>
            </w:r>
            <w:r w:rsidRPr="00D43AEC">
              <w:rPr>
                <w:sz w:val="24"/>
                <w:szCs w:val="24"/>
              </w:rPr>
              <w:t>=6</w:t>
            </w:r>
          </w:p>
        </w:tc>
        <w:tc>
          <w:tcPr>
            <w:tcW w:w="2027" w:type="dxa"/>
            <w:shd w:val="clear" w:color="auto" w:fill="auto"/>
            <w:vAlign w:val="center"/>
          </w:tcPr>
          <w:p w:rsidR="003F10E4" w:rsidRPr="00D43AEC" w:rsidRDefault="003F10E4" w:rsidP="00844CB7">
            <w:pPr>
              <w:rPr>
                <w:sz w:val="24"/>
                <w:szCs w:val="24"/>
              </w:rPr>
            </w:pPr>
            <w:r w:rsidRPr="00D43AEC">
              <w:rPr>
                <w:sz w:val="24"/>
                <w:szCs w:val="24"/>
              </w:rPr>
              <w:t xml:space="preserve">6,28 </w:t>
            </w:r>
            <w:r>
              <w:rPr>
                <w:sz w:val="24"/>
                <w:szCs w:val="24"/>
              </w:rPr>
              <w:t>(6,16</w:t>
            </w:r>
            <w:proofErr w:type="gramStart"/>
            <w:r>
              <w:rPr>
                <w:sz w:val="24"/>
                <w:szCs w:val="24"/>
              </w:rPr>
              <w:t xml:space="preserve"> ;</w:t>
            </w:r>
            <w:proofErr w:type="gramEnd"/>
            <w:r>
              <w:rPr>
                <w:sz w:val="24"/>
                <w:szCs w:val="24"/>
              </w:rPr>
              <w:t xml:space="preserve"> 6,34)</w:t>
            </w:r>
          </w:p>
        </w:tc>
        <w:tc>
          <w:tcPr>
            <w:tcW w:w="2027" w:type="dxa"/>
            <w:shd w:val="clear" w:color="auto" w:fill="auto"/>
            <w:vAlign w:val="center"/>
          </w:tcPr>
          <w:p w:rsidR="003F10E4" w:rsidRDefault="003F10E4" w:rsidP="00844CB7">
            <w:pPr>
              <w:jc w:val="center"/>
              <w:rPr>
                <w:sz w:val="24"/>
                <w:szCs w:val="24"/>
              </w:rPr>
            </w:pPr>
            <w:r w:rsidRPr="00D43AEC">
              <w:rPr>
                <w:sz w:val="24"/>
                <w:szCs w:val="24"/>
              </w:rPr>
              <w:t>120,0</w:t>
            </w:r>
          </w:p>
          <w:p w:rsidR="003F10E4" w:rsidRPr="00D43AEC" w:rsidRDefault="003F10E4" w:rsidP="00844CB7">
            <w:pPr>
              <w:rPr>
                <w:sz w:val="24"/>
                <w:szCs w:val="24"/>
              </w:rPr>
            </w:pPr>
            <w:r>
              <w:rPr>
                <w:sz w:val="24"/>
                <w:szCs w:val="24"/>
              </w:rPr>
              <w:t>(119,5</w:t>
            </w:r>
            <w:proofErr w:type="gramStart"/>
            <w:r>
              <w:rPr>
                <w:sz w:val="24"/>
                <w:szCs w:val="24"/>
              </w:rPr>
              <w:t xml:space="preserve"> ;</w:t>
            </w:r>
            <w:proofErr w:type="gramEnd"/>
            <w:r>
              <w:rPr>
                <w:sz w:val="24"/>
                <w:szCs w:val="24"/>
              </w:rPr>
              <w:t xml:space="preserve"> 121,0)</w:t>
            </w:r>
          </w:p>
        </w:tc>
        <w:tc>
          <w:tcPr>
            <w:tcW w:w="2028" w:type="dxa"/>
            <w:shd w:val="clear" w:color="auto" w:fill="auto"/>
            <w:vAlign w:val="center"/>
          </w:tcPr>
          <w:p w:rsidR="003F10E4" w:rsidRPr="00D43AEC" w:rsidRDefault="003F10E4" w:rsidP="00844CB7">
            <w:pPr>
              <w:rPr>
                <w:sz w:val="24"/>
                <w:szCs w:val="24"/>
              </w:rPr>
            </w:pPr>
            <w:r w:rsidRPr="00D43AEC">
              <w:rPr>
                <w:sz w:val="24"/>
                <w:szCs w:val="24"/>
              </w:rPr>
              <w:t xml:space="preserve">21,5 </w:t>
            </w:r>
            <w:r>
              <w:rPr>
                <w:sz w:val="24"/>
                <w:szCs w:val="24"/>
              </w:rPr>
              <w:t>(19,5</w:t>
            </w:r>
            <w:proofErr w:type="gramStart"/>
            <w:r>
              <w:rPr>
                <w:sz w:val="24"/>
                <w:szCs w:val="24"/>
              </w:rPr>
              <w:t xml:space="preserve"> ;</w:t>
            </w:r>
            <w:proofErr w:type="gramEnd"/>
            <w:r>
              <w:rPr>
                <w:sz w:val="24"/>
                <w:szCs w:val="24"/>
              </w:rPr>
              <w:t xml:space="preserve"> 22,5)</w:t>
            </w:r>
          </w:p>
        </w:tc>
        <w:tc>
          <w:tcPr>
            <w:tcW w:w="2028" w:type="dxa"/>
            <w:shd w:val="clear" w:color="auto" w:fill="auto"/>
            <w:vAlign w:val="center"/>
          </w:tcPr>
          <w:p w:rsidR="003F10E4" w:rsidRDefault="003F10E4" w:rsidP="00844CB7">
            <w:pPr>
              <w:rPr>
                <w:sz w:val="24"/>
                <w:szCs w:val="24"/>
              </w:rPr>
            </w:pPr>
            <w:r>
              <w:rPr>
                <w:sz w:val="24"/>
                <w:szCs w:val="24"/>
              </w:rPr>
              <w:t xml:space="preserve">317,0 </w:t>
            </w:r>
          </w:p>
          <w:p w:rsidR="003F10E4" w:rsidRPr="00D43AEC" w:rsidRDefault="003F10E4" w:rsidP="00844CB7">
            <w:pPr>
              <w:jc w:val="center"/>
              <w:rPr>
                <w:sz w:val="24"/>
                <w:szCs w:val="24"/>
              </w:rPr>
            </w:pPr>
            <w:r>
              <w:rPr>
                <w:sz w:val="24"/>
                <w:szCs w:val="24"/>
              </w:rPr>
              <w:t>(315,0</w:t>
            </w:r>
            <w:proofErr w:type="gramStart"/>
            <w:r>
              <w:rPr>
                <w:sz w:val="24"/>
                <w:szCs w:val="24"/>
              </w:rPr>
              <w:t xml:space="preserve"> ;</w:t>
            </w:r>
            <w:proofErr w:type="gramEnd"/>
            <w:r>
              <w:rPr>
                <w:sz w:val="24"/>
                <w:szCs w:val="24"/>
              </w:rPr>
              <w:t xml:space="preserve"> 319,0)</w:t>
            </w:r>
          </w:p>
        </w:tc>
      </w:tr>
    </w:tbl>
    <w:p w:rsidR="003F10E4" w:rsidRDefault="003F10E4" w:rsidP="003F10E4"/>
    <w:p w:rsidR="003F10E4" w:rsidRDefault="003F10E4" w:rsidP="003F10E4">
      <w:pPr>
        <w:ind w:firstLine="708"/>
      </w:pPr>
      <w:r>
        <w:t>Данные, представленные в таблице, свидетельствуют о том, что в предоперационном периоде все показатели клинического анализа крови экспериментальных животных находились в пределах референсных значений.</w:t>
      </w:r>
    </w:p>
    <w:p w:rsidR="003F10E4" w:rsidRDefault="003F10E4" w:rsidP="003F10E4">
      <w:pPr>
        <w:ind w:firstLine="708"/>
        <w:rPr>
          <w:rFonts w:cs="Times New Roman"/>
        </w:rPr>
      </w:pPr>
      <w:r>
        <w:t>Мониторинг количества эритроцитов в послеоперационном периоде позволил выявить их достоверное снижение в раннем послеоперационном периоде (</w:t>
      </w:r>
      <w:proofErr w:type="gramStart"/>
      <w:r>
        <w:t>р</w:t>
      </w:r>
      <w:proofErr w:type="gramEnd"/>
      <w:r>
        <w:rPr>
          <w:rFonts w:cs="Times New Roman"/>
        </w:rPr>
        <w:t>&lt;0,05) с последующим постепенным возрастанием к 14 дню после операции. В результате через 1 мес. после хирургического вмешательства уровень эритроцитов практически не отличался от исходного (</w:t>
      </w:r>
      <w:proofErr w:type="gramStart"/>
      <w:r>
        <w:rPr>
          <w:rFonts w:cs="Times New Roman"/>
        </w:rPr>
        <w:t>р</w:t>
      </w:r>
      <w:proofErr w:type="gramEnd"/>
      <w:r>
        <w:rPr>
          <w:rFonts w:cs="Times New Roman"/>
        </w:rPr>
        <w:t>&gt;0,05)  и оставался стабильным на протяжении всего периода катамнестического наблюдения (рис. 28).</w:t>
      </w:r>
    </w:p>
    <w:p w:rsidR="003F10E4" w:rsidRDefault="003F10E4" w:rsidP="003F10E4">
      <w:pPr>
        <w:jc w:val="center"/>
      </w:pPr>
      <w:r>
        <w:rPr>
          <w:noProof/>
          <w:lang w:eastAsia="ru-RU"/>
        </w:rPr>
        <w:drawing>
          <wp:inline distT="0" distB="0" distL="0" distR="0">
            <wp:extent cx="6057900" cy="3590925"/>
            <wp:effectExtent l="0" t="0" r="0" b="9525"/>
            <wp:docPr id="5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F10E4" w:rsidRDefault="003F10E4" w:rsidP="003F10E4">
      <w:pPr>
        <w:jc w:val="center"/>
        <w:rPr>
          <w:szCs w:val="28"/>
        </w:rPr>
      </w:pPr>
      <w:r>
        <w:t xml:space="preserve">Рис. 28. Динамика количества </w:t>
      </w:r>
      <w:r w:rsidRPr="00757872">
        <w:rPr>
          <w:szCs w:val="28"/>
        </w:rPr>
        <w:t>эритроцитов (×10</w:t>
      </w:r>
      <w:r w:rsidRPr="00757872">
        <w:rPr>
          <w:szCs w:val="28"/>
          <w:vertAlign w:val="superscript"/>
        </w:rPr>
        <w:t>6</w:t>
      </w:r>
      <w:r w:rsidRPr="00757872">
        <w:rPr>
          <w:szCs w:val="28"/>
        </w:rPr>
        <w:t>/мм</w:t>
      </w:r>
      <w:r w:rsidRPr="00757872">
        <w:rPr>
          <w:szCs w:val="28"/>
          <w:vertAlign w:val="superscript"/>
        </w:rPr>
        <w:t>3</w:t>
      </w:r>
      <w:r w:rsidRPr="00757872">
        <w:rPr>
          <w:szCs w:val="28"/>
        </w:rPr>
        <w:t>)</w:t>
      </w:r>
      <w:r>
        <w:rPr>
          <w:szCs w:val="28"/>
        </w:rPr>
        <w:t xml:space="preserve"> у экспериментальных животных в послеоперационном периоде</w:t>
      </w:r>
    </w:p>
    <w:p w:rsidR="003F10E4" w:rsidRDefault="003F10E4" w:rsidP="003F10E4">
      <w:pPr>
        <w:ind w:firstLine="708"/>
        <w:rPr>
          <w:szCs w:val="28"/>
        </w:rPr>
      </w:pPr>
      <w:r>
        <w:rPr>
          <w:szCs w:val="28"/>
        </w:rPr>
        <w:lastRenderedPageBreak/>
        <w:t>Практически аналогичной была динамика уровня гемоглобина – она характеризовалась достоверным снижением в первый день после протезирования клапана (</w:t>
      </w:r>
      <w:proofErr w:type="gramStart"/>
      <w:r>
        <w:rPr>
          <w:szCs w:val="28"/>
        </w:rPr>
        <w:t>р</w:t>
      </w:r>
      <w:proofErr w:type="gramEnd"/>
      <w:r>
        <w:rPr>
          <w:rFonts w:cs="Times New Roman"/>
          <w:szCs w:val="28"/>
        </w:rPr>
        <w:t>&lt;</w:t>
      </w:r>
      <w:r>
        <w:rPr>
          <w:szCs w:val="28"/>
        </w:rPr>
        <w:t>0,05) с постепенным повышением практически до исходного уровня (р</w:t>
      </w:r>
      <w:r>
        <w:rPr>
          <w:rFonts w:cs="Times New Roman"/>
          <w:szCs w:val="28"/>
        </w:rPr>
        <w:t>&gt;</w:t>
      </w:r>
      <w:r>
        <w:rPr>
          <w:szCs w:val="28"/>
        </w:rPr>
        <w:t>0,05) к 14 дню послеоперационного периода и дальнейшими незначительными колебаниями в течение всего срока катамнестического наблюдения (рис. 29).</w:t>
      </w:r>
    </w:p>
    <w:p w:rsidR="003F10E4" w:rsidRDefault="003F10E4" w:rsidP="003F10E4">
      <w:pPr>
        <w:ind w:firstLine="708"/>
        <w:rPr>
          <w:szCs w:val="28"/>
        </w:rPr>
      </w:pPr>
    </w:p>
    <w:p w:rsidR="003F10E4" w:rsidRDefault="003F10E4" w:rsidP="003F10E4">
      <w:pPr>
        <w:ind w:firstLine="708"/>
        <w:rPr>
          <w:szCs w:val="28"/>
        </w:rPr>
      </w:pPr>
    </w:p>
    <w:p w:rsidR="003F10E4" w:rsidRDefault="003F10E4" w:rsidP="003F10E4">
      <w:pPr>
        <w:jc w:val="center"/>
      </w:pPr>
      <w:r>
        <w:rPr>
          <w:noProof/>
          <w:lang w:eastAsia="ru-RU"/>
        </w:rPr>
        <w:drawing>
          <wp:inline distT="0" distB="0" distL="0" distR="0">
            <wp:extent cx="5848350" cy="4114800"/>
            <wp:effectExtent l="0" t="0" r="0" b="0"/>
            <wp:docPr id="5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F10E4" w:rsidRDefault="003F10E4" w:rsidP="003F10E4">
      <w:pPr>
        <w:jc w:val="center"/>
        <w:rPr>
          <w:szCs w:val="28"/>
        </w:rPr>
      </w:pPr>
      <w:r>
        <w:t>Рис. 29. Динамика уровня гемоглобина</w:t>
      </w:r>
      <w:r w:rsidRPr="00757872">
        <w:rPr>
          <w:szCs w:val="28"/>
        </w:rPr>
        <w:t xml:space="preserve"> </w:t>
      </w:r>
      <w:r>
        <w:rPr>
          <w:szCs w:val="28"/>
        </w:rPr>
        <w:t>(</w:t>
      </w:r>
      <w:proofErr w:type="gramStart"/>
      <w:r>
        <w:rPr>
          <w:szCs w:val="28"/>
        </w:rPr>
        <w:t>г</w:t>
      </w:r>
      <w:proofErr w:type="gramEnd"/>
      <w:r>
        <w:rPr>
          <w:szCs w:val="28"/>
        </w:rPr>
        <w:t>/л</w:t>
      </w:r>
      <w:r w:rsidRPr="00757872">
        <w:rPr>
          <w:szCs w:val="28"/>
        </w:rPr>
        <w:t>)</w:t>
      </w:r>
      <w:r>
        <w:rPr>
          <w:szCs w:val="28"/>
        </w:rPr>
        <w:t xml:space="preserve"> у экспериментальных животных в послеоперационном периоде</w:t>
      </w:r>
    </w:p>
    <w:p w:rsidR="003F10E4" w:rsidRDefault="003F10E4" w:rsidP="003F10E4">
      <w:pPr>
        <w:ind w:firstLine="708"/>
        <w:rPr>
          <w:szCs w:val="28"/>
        </w:rPr>
      </w:pPr>
      <w:r>
        <w:rPr>
          <w:szCs w:val="28"/>
        </w:rPr>
        <w:t>Из данных диаграммы следует, что после повышения уровня гемоглобина к 14 дню послеоперационного периода, происходило его постепенное снижение к 3 мес. с последующим ростом практически до исходных значений. Однако</w:t>
      </w:r>
      <w:proofErr w:type="gramStart"/>
      <w:r>
        <w:rPr>
          <w:szCs w:val="28"/>
        </w:rPr>
        <w:t>,</w:t>
      </w:r>
      <w:proofErr w:type="gramEnd"/>
      <w:r>
        <w:rPr>
          <w:szCs w:val="28"/>
        </w:rPr>
        <w:t xml:space="preserve"> эти изменения находились в зоне неопределенности, т.е. не достигали статистически достоверного уровня.</w:t>
      </w:r>
    </w:p>
    <w:p w:rsidR="003F10E4" w:rsidRDefault="003F10E4" w:rsidP="003F10E4">
      <w:pPr>
        <w:ind w:firstLine="708"/>
        <w:rPr>
          <w:szCs w:val="28"/>
        </w:rPr>
      </w:pPr>
      <w:r>
        <w:rPr>
          <w:szCs w:val="28"/>
        </w:rPr>
        <w:lastRenderedPageBreak/>
        <w:t>При анализе динамики количества лейкоцитов в периферической крови экспериментальных животных было установлено, что в течение первого месяца после протезирования клапана происходило постепенное снижение данного показателя с достижением достоверного минимума на сроке 1 мес. после операции (</w:t>
      </w:r>
      <w:proofErr w:type="gramStart"/>
      <w:r>
        <w:rPr>
          <w:szCs w:val="28"/>
        </w:rPr>
        <w:t>р</w:t>
      </w:r>
      <w:proofErr w:type="gramEnd"/>
      <w:r>
        <w:rPr>
          <w:rFonts w:cs="Times New Roman"/>
          <w:szCs w:val="28"/>
        </w:rPr>
        <w:t>&lt;</w:t>
      </w:r>
      <w:r>
        <w:rPr>
          <w:szCs w:val="28"/>
        </w:rPr>
        <w:t>0,05). Однако, при повторной оценке количества лейкоцитов на сроке 3 мес. было отмечено их значимое увеличение (</w:t>
      </w:r>
      <w:proofErr w:type="gramStart"/>
      <w:r>
        <w:rPr>
          <w:szCs w:val="28"/>
        </w:rPr>
        <w:t>р</w:t>
      </w:r>
      <w:proofErr w:type="gramEnd"/>
      <w:r>
        <w:rPr>
          <w:rFonts w:cs="Times New Roman"/>
          <w:szCs w:val="28"/>
        </w:rPr>
        <w:t>&lt;</w:t>
      </w:r>
      <w:r>
        <w:rPr>
          <w:szCs w:val="28"/>
        </w:rPr>
        <w:t>0,05) с последующим восстановлением практически до исходного уровня (р</w:t>
      </w:r>
      <w:r>
        <w:rPr>
          <w:rFonts w:cs="Times New Roman"/>
          <w:szCs w:val="28"/>
        </w:rPr>
        <w:t>&gt;</w:t>
      </w:r>
      <w:r>
        <w:rPr>
          <w:szCs w:val="28"/>
        </w:rPr>
        <w:t>0,05) на сроке катамнеза 6 мес. Полученные данные наглядно представлены на рисунке 30.</w:t>
      </w:r>
    </w:p>
    <w:p w:rsidR="003F10E4" w:rsidRDefault="003F10E4" w:rsidP="003F10E4">
      <w:pPr>
        <w:jc w:val="center"/>
      </w:pPr>
      <w:r>
        <w:rPr>
          <w:noProof/>
          <w:lang w:eastAsia="ru-RU"/>
        </w:rPr>
        <w:drawing>
          <wp:inline distT="0" distB="0" distL="0" distR="0">
            <wp:extent cx="5324475" cy="2714625"/>
            <wp:effectExtent l="0" t="0" r="9525" b="9525"/>
            <wp:docPr id="5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3F10E4" w:rsidRDefault="003F10E4" w:rsidP="003F10E4">
      <w:pPr>
        <w:jc w:val="center"/>
        <w:rPr>
          <w:szCs w:val="28"/>
        </w:rPr>
      </w:pPr>
      <w:r>
        <w:t xml:space="preserve">Рис. 30. Динамика количества </w:t>
      </w:r>
      <w:r>
        <w:rPr>
          <w:szCs w:val="28"/>
        </w:rPr>
        <w:t>лейкоцитов</w:t>
      </w:r>
      <w:r w:rsidRPr="00757872">
        <w:rPr>
          <w:szCs w:val="28"/>
        </w:rPr>
        <w:t xml:space="preserve"> (×10</w:t>
      </w:r>
      <w:r>
        <w:rPr>
          <w:szCs w:val="28"/>
          <w:vertAlign w:val="superscript"/>
        </w:rPr>
        <w:t>3</w:t>
      </w:r>
      <w:r w:rsidRPr="00757872">
        <w:rPr>
          <w:szCs w:val="28"/>
        </w:rPr>
        <w:t>/мм</w:t>
      </w:r>
      <w:r w:rsidRPr="00757872">
        <w:rPr>
          <w:szCs w:val="28"/>
          <w:vertAlign w:val="superscript"/>
        </w:rPr>
        <w:t>3</w:t>
      </w:r>
      <w:r w:rsidRPr="00757872">
        <w:rPr>
          <w:szCs w:val="28"/>
        </w:rPr>
        <w:t>)</w:t>
      </w:r>
      <w:r>
        <w:rPr>
          <w:szCs w:val="28"/>
        </w:rPr>
        <w:t xml:space="preserve"> у экспериментальных животных в послеоперационном периоде</w:t>
      </w:r>
    </w:p>
    <w:p w:rsidR="003F10E4" w:rsidRDefault="003F10E4" w:rsidP="003F10E4">
      <w:pPr>
        <w:ind w:firstLine="708"/>
        <w:rPr>
          <w:szCs w:val="28"/>
        </w:rPr>
      </w:pPr>
      <w:r>
        <w:rPr>
          <w:szCs w:val="28"/>
        </w:rPr>
        <w:t>Что касается уровня тромбоцитов, то в первый день послеоперационного периода отмечался достоверный рост данного показателя (</w:t>
      </w:r>
      <w:proofErr w:type="gramStart"/>
      <w:r>
        <w:rPr>
          <w:szCs w:val="28"/>
        </w:rPr>
        <w:t>р</w:t>
      </w:r>
      <w:proofErr w:type="gramEnd"/>
      <w:r>
        <w:rPr>
          <w:rFonts w:cs="Times New Roman"/>
          <w:szCs w:val="28"/>
        </w:rPr>
        <w:t>&lt;</w:t>
      </w:r>
      <w:r>
        <w:rPr>
          <w:szCs w:val="28"/>
        </w:rPr>
        <w:t>0,05), что, вероятно, отражает активацию системы гемостаза у оперированных животных. Затем уровень тромбоцитов неуклонно снижался с достижением исходных значений на сроке 3 мес. В последующем, на сроке 6 мес., было также отмечено снижение уровня тромбоцитов, но различия с показателями предыдущего периода оказались статистически незначимыми (</w:t>
      </w:r>
      <w:proofErr w:type="gramStart"/>
      <w:r>
        <w:rPr>
          <w:szCs w:val="28"/>
        </w:rPr>
        <w:t>р</w:t>
      </w:r>
      <w:proofErr w:type="gramEnd"/>
      <w:r>
        <w:rPr>
          <w:rFonts w:cs="Times New Roman"/>
          <w:szCs w:val="28"/>
        </w:rPr>
        <w:t>&gt;</w:t>
      </w:r>
      <w:r>
        <w:rPr>
          <w:szCs w:val="28"/>
        </w:rPr>
        <w:t>0,05). Описанная динамика представлена на рисунке 31.</w:t>
      </w:r>
    </w:p>
    <w:p w:rsidR="003F10E4" w:rsidRDefault="003F10E4" w:rsidP="003F10E4">
      <w:pPr>
        <w:rPr>
          <w:szCs w:val="28"/>
        </w:rPr>
      </w:pPr>
      <w:r>
        <w:rPr>
          <w:noProof/>
          <w:lang w:eastAsia="ru-RU"/>
        </w:rPr>
        <w:lastRenderedPageBreak/>
        <w:drawing>
          <wp:inline distT="0" distB="0" distL="0" distR="0">
            <wp:extent cx="5676900" cy="2476500"/>
            <wp:effectExtent l="0" t="0" r="0" b="0"/>
            <wp:docPr id="5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F10E4" w:rsidRDefault="003F10E4" w:rsidP="003F10E4">
      <w:pPr>
        <w:jc w:val="center"/>
        <w:rPr>
          <w:szCs w:val="28"/>
        </w:rPr>
      </w:pPr>
      <w:r>
        <w:t xml:space="preserve">Рис. 31. Динамика количества </w:t>
      </w:r>
      <w:r>
        <w:rPr>
          <w:szCs w:val="28"/>
        </w:rPr>
        <w:t>тромбоцитов</w:t>
      </w:r>
      <w:r w:rsidRPr="00757872">
        <w:rPr>
          <w:szCs w:val="28"/>
        </w:rPr>
        <w:t xml:space="preserve"> (×10</w:t>
      </w:r>
      <w:r>
        <w:rPr>
          <w:szCs w:val="28"/>
          <w:vertAlign w:val="superscript"/>
        </w:rPr>
        <w:t>3</w:t>
      </w:r>
      <w:r w:rsidRPr="00757872">
        <w:rPr>
          <w:szCs w:val="28"/>
        </w:rPr>
        <w:t>/мм</w:t>
      </w:r>
      <w:r w:rsidRPr="00757872">
        <w:rPr>
          <w:szCs w:val="28"/>
          <w:vertAlign w:val="superscript"/>
        </w:rPr>
        <w:t>3</w:t>
      </w:r>
      <w:r w:rsidRPr="00757872">
        <w:rPr>
          <w:szCs w:val="28"/>
        </w:rPr>
        <w:t>)</w:t>
      </w:r>
      <w:r>
        <w:rPr>
          <w:szCs w:val="28"/>
        </w:rPr>
        <w:t xml:space="preserve"> у экспериментальных животных в послеоперационном периоде</w:t>
      </w:r>
    </w:p>
    <w:p w:rsidR="003F10E4" w:rsidRDefault="003F10E4" w:rsidP="003F10E4">
      <w:pPr>
        <w:ind w:firstLine="708"/>
      </w:pPr>
      <w:r>
        <w:t>Изучение динамики параметров свертывающей системы экспериментальных животных выявило, что уровень фибриногена в первые дни после операции непрерывно повышался с достижением максимума, достоверно превышающего исходные значения (</w:t>
      </w:r>
      <w:proofErr w:type="gramStart"/>
      <w:r>
        <w:t>р</w:t>
      </w:r>
      <w:proofErr w:type="gramEnd"/>
      <w:r>
        <w:rPr>
          <w:rFonts w:cs="Times New Roman"/>
        </w:rPr>
        <w:t>&lt;</w:t>
      </w:r>
      <w:r>
        <w:t>0,05), к 14 дню послеоперационного периода. В дальнейшем уровень фибриногена характеризовался устойчивой тенденцией к снижению, в результате чего к концу срока катамнестического наблюдения он вернулся к исходному значению (рис. 32).</w:t>
      </w:r>
    </w:p>
    <w:p w:rsidR="003F10E4" w:rsidRDefault="003F10E4" w:rsidP="003F10E4">
      <w:pPr>
        <w:jc w:val="center"/>
      </w:pPr>
      <w:r>
        <w:rPr>
          <w:noProof/>
          <w:lang w:eastAsia="ru-RU"/>
        </w:rPr>
        <w:drawing>
          <wp:inline distT="0" distB="0" distL="0" distR="0">
            <wp:extent cx="5905500" cy="3276600"/>
            <wp:effectExtent l="0" t="0" r="0" b="0"/>
            <wp:docPr id="5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F10E4" w:rsidRDefault="003F10E4" w:rsidP="003F10E4">
      <w:pPr>
        <w:jc w:val="center"/>
        <w:rPr>
          <w:szCs w:val="28"/>
        </w:rPr>
      </w:pPr>
      <w:r>
        <w:lastRenderedPageBreak/>
        <w:t>Рис. 32. Динамика уровня фибриногена</w:t>
      </w:r>
      <w:r w:rsidRPr="00757872">
        <w:rPr>
          <w:szCs w:val="28"/>
        </w:rPr>
        <w:t xml:space="preserve"> </w:t>
      </w:r>
      <w:r>
        <w:rPr>
          <w:szCs w:val="28"/>
        </w:rPr>
        <w:t>(</w:t>
      </w:r>
      <w:proofErr w:type="gramStart"/>
      <w:r>
        <w:rPr>
          <w:szCs w:val="28"/>
        </w:rPr>
        <w:t>г</w:t>
      </w:r>
      <w:proofErr w:type="gramEnd"/>
      <w:r>
        <w:rPr>
          <w:szCs w:val="28"/>
        </w:rPr>
        <w:t>/л</w:t>
      </w:r>
      <w:r w:rsidRPr="00757872">
        <w:rPr>
          <w:szCs w:val="28"/>
        </w:rPr>
        <w:t>)</w:t>
      </w:r>
      <w:r>
        <w:rPr>
          <w:szCs w:val="28"/>
        </w:rPr>
        <w:t xml:space="preserve"> у экспериментальных животных в послеоперационном периоде</w:t>
      </w:r>
    </w:p>
    <w:p w:rsidR="003F10E4" w:rsidRDefault="003F10E4" w:rsidP="003F10E4">
      <w:pPr>
        <w:ind w:firstLine="708"/>
      </w:pPr>
      <w:r>
        <w:t>Аналогичная динамика была зафиксирована при анализе протромбинового времени у экспериментальных животных (рис. 33). На диаграмме хорошо видно, что в течение первых 2 недель послеоперационного периода анализируемый показатель постоянно возрастал, а затем началось его снижение с достижением исходных значений к концу катамнеза.</w:t>
      </w:r>
    </w:p>
    <w:p w:rsidR="003F10E4" w:rsidRDefault="003F10E4" w:rsidP="003F10E4">
      <w:pPr>
        <w:jc w:val="center"/>
      </w:pPr>
      <w:r>
        <w:rPr>
          <w:noProof/>
          <w:lang w:eastAsia="ru-RU"/>
        </w:rPr>
        <w:drawing>
          <wp:inline distT="0" distB="0" distL="0" distR="0">
            <wp:extent cx="5467350" cy="3152775"/>
            <wp:effectExtent l="0" t="0" r="0" b="9525"/>
            <wp:docPr id="5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F10E4" w:rsidRDefault="003F10E4" w:rsidP="003F10E4">
      <w:pPr>
        <w:jc w:val="center"/>
        <w:rPr>
          <w:szCs w:val="28"/>
        </w:rPr>
      </w:pPr>
      <w:r>
        <w:t>Рис. 33. Динамика протромбинового времени</w:t>
      </w:r>
      <w:r w:rsidRPr="00757872">
        <w:rPr>
          <w:szCs w:val="28"/>
        </w:rPr>
        <w:t xml:space="preserve"> </w:t>
      </w:r>
      <w:r>
        <w:rPr>
          <w:szCs w:val="28"/>
        </w:rPr>
        <w:t>(сек</w:t>
      </w:r>
      <w:r w:rsidRPr="00757872">
        <w:rPr>
          <w:szCs w:val="28"/>
        </w:rPr>
        <w:t>)</w:t>
      </w:r>
      <w:r>
        <w:rPr>
          <w:szCs w:val="28"/>
        </w:rPr>
        <w:t xml:space="preserve"> у экспериментальных животных в послеоперационном периоде</w:t>
      </w:r>
    </w:p>
    <w:p w:rsidR="003F10E4" w:rsidRDefault="003F10E4" w:rsidP="003F10E4">
      <w:pPr>
        <w:ind w:firstLine="708"/>
      </w:pPr>
    </w:p>
    <w:p w:rsidR="003F10E4" w:rsidRDefault="003F10E4" w:rsidP="003F10E4">
      <w:pPr>
        <w:ind w:firstLine="708"/>
      </w:pPr>
      <w:r>
        <w:t>Динамика показателя МНО наглядно представлена на рисунке 34.</w:t>
      </w:r>
    </w:p>
    <w:p w:rsidR="003F10E4" w:rsidRDefault="003F10E4" w:rsidP="003F10E4">
      <w:pPr>
        <w:jc w:val="center"/>
      </w:pPr>
      <w:r>
        <w:rPr>
          <w:noProof/>
          <w:lang w:eastAsia="ru-RU"/>
        </w:rPr>
        <w:lastRenderedPageBreak/>
        <w:drawing>
          <wp:inline distT="0" distB="0" distL="0" distR="0">
            <wp:extent cx="5743575" cy="3505200"/>
            <wp:effectExtent l="0" t="0" r="9525" b="0"/>
            <wp:docPr id="57"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F10E4" w:rsidRDefault="003F10E4" w:rsidP="003F10E4">
      <w:pPr>
        <w:jc w:val="center"/>
        <w:rPr>
          <w:szCs w:val="28"/>
        </w:rPr>
      </w:pPr>
      <w:r>
        <w:t>Рис. 34. Динамика МНО</w:t>
      </w:r>
      <w:r w:rsidRPr="00757872">
        <w:rPr>
          <w:szCs w:val="28"/>
        </w:rPr>
        <w:t xml:space="preserve"> </w:t>
      </w:r>
      <w:r>
        <w:rPr>
          <w:szCs w:val="28"/>
        </w:rPr>
        <w:t>у экспериментальных животных в послеоперационном периоде</w:t>
      </w:r>
    </w:p>
    <w:p w:rsidR="003F10E4" w:rsidRDefault="003F10E4" w:rsidP="003F10E4">
      <w:pPr>
        <w:ind w:firstLine="708"/>
      </w:pPr>
      <w:r>
        <w:t xml:space="preserve">Из данных диаграммы следует, что динамика данного показателя в послеоперационном периоде была аналогична таковой для фибриногена и протромбинового времени. Действительно, </w:t>
      </w:r>
      <w:proofErr w:type="gramStart"/>
      <w:r>
        <w:t>в первые</w:t>
      </w:r>
      <w:proofErr w:type="gramEnd"/>
      <w:r>
        <w:t xml:space="preserve"> 2 нед. послеоперационного периода отмечалось возрастание МНО у всех экспериментальных животных, а затем  - постепенное его снижение с достижением исходного уровня к концу срока катамнеза.</w:t>
      </w:r>
    </w:p>
    <w:p w:rsidR="003F10E4" w:rsidRDefault="003F10E4" w:rsidP="003F10E4">
      <w:pPr>
        <w:ind w:firstLine="708"/>
      </w:pPr>
      <w:r>
        <w:t>Несколько иная динамика была характерна для протромбинового индекса (ПТИ). Так, в первый день послеоперационного периода было выявлено его повышение с последующим падением на сроке 14 дней. Однако, через 1 мес. после протезирования клапана было зафиксировано повторное возрастание ПТИ с сохранением достигнутого уровня до завершения катамнестического наблюдения (рис. 35).</w:t>
      </w:r>
    </w:p>
    <w:p w:rsidR="003F10E4" w:rsidRDefault="003F10E4" w:rsidP="003F10E4">
      <w:pPr>
        <w:jc w:val="center"/>
      </w:pPr>
      <w:r>
        <w:rPr>
          <w:noProof/>
          <w:lang w:eastAsia="ru-RU"/>
        </w:rPr>
        <w:lastRenderedPageBreak/>
        <w:drawing>
          <wp:inline distT="0" distB="0" distL="0" distR="0">
            <wp:extent cx="5991225" cy="2743200"/>
            <wp:effectExtent l="0" t="0" r="9525" b="0"/>
            <wp:docPr id="58"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F10E4" w:rsidRDefault="003F10E4" w:rsidP="003F10E4">
      <w:pPr>
        <w:jc w:val="center"/>
        <w:rPr>
          <w:szCs w:val="28"/>
        </w:rPr>
      </w:pPr>
      <w:r>
        <w:t>Рис. 35. Динамика протромбинового индекса</w:t>
      </w:r>
      <w:proofErr w:type="gramStart"/>
      <w:r w:rsidRPr="00757872">
        <w:rPr>
          <w:szCs w:val="28"/>
        </w:rPr>
        <w:t xml:space="preserve"> </w:t>
      </w:r>
      <w:r>
        <w:rPr>
          <w:szCs w:val="28"/>
        </w:rPr>
        <w:t>(%</w:t>
      </w:r>
      <w:r w:rsidRPr="00757872">
        <w:rPr>
          <w:szCs w:val="28"/>
        </w:rPr>
        <w:t>)</w:t>
      </w:r>
      <w:r>
        <w:rPr>
          <w:szCs w:val="28"/>
        </w:rPr>
        <w:t xml:space="preserve"> </w:t>
      </w:r>
      <w:proofErr w:type="gramEnd"/>
      <w:r>
        <w:rPr>
          <w:szCs w:val="28"/>
        </w:rPr>
        <w:t>у экспериментальных животных в послеоперационном периоде</w:t>
      </w:r>
    </w:p>
    <w:p w:rsidR="003F10E4" w:rsidRDefault="003F10E4" w:rsidP="003F10E4">
      <w:pPr>
        <w:ind w:firstLine="708"/>
        <w:rPr>
          <w:szCs w:val="28"/>
        </w:rPr>
      </w:pPr>
      <w:r>
        <w:rPr>
          <w:szCs w:val="28"/>
        </w:rPr>
        <w:t>Однако</w:t>
      </w:r>
      <w:proofErr w:type="gramStart"/>
      <w:r>
        <w:rPr>
          <w:szCs w:val="28"/>
        </w:rPr>
        <w:t>,</w:t>
      </w:r>
      <w:proofErr w:type="gramEnd"/>
      <w:r>
        <w:rPr>
          <w:szCs w:val="28"/>
        </w:rPr>
        <w:t xml:space="preserve"> при статистической обработке полученных данных было установлено, что выявленные изменения ПТИ находятся в пределах статистических колебаний, а достоверные различия с исходным уровнем отсутствуют.</w:t>
      </w:r>
    </w:p>
    <w:p w:rsidR="003F10E4" w:rsidRDefault="003F10E4" w:rsidP="003F10E4">
      <w:pPr>
        <w:ind w:firstLine="708"/>
        <w:rPr>
          <w:szCs w:val="28"/>
        </w:rPr>
      </w:pPr>
      <w:r>
        <w:rPr>
          <w:szCs w:val="28"/>
        </w:rPr>
        <w:t>Весьма интересные данные были получены при изучении динамики маркеров воспаления у экспериментальных животных в послеоперационном периоде. Так, уровень фактора некроза опухоли в первый день послеоперационного периода практически не отличался от исходного (</w:t>
      </w:r>
      <w:proofErr w:type="gramStart"/>
      <w:r>
        <w:rPr>
          <w:szCs w:val="28"/>
        </w:rPr>
        <w:t>р</w:t>
      </w:r>
      <w:proofErr w:type="gramEnd"/>
      <w:r>
        <w:rPr>
          <w:rFonts w:cs="Times New Roman"/>
          <w:szCs w:val="28"/>
        </w:rPr>
        <w:t>&gt;</w:t>
      </w:r>
      <w:r>
        <w:rPr>
          <w:szCs w:val="28"/>
        </w:rPr>
        <w:t>0,05), однако к 14 дню он возрос в 2 раза (р</w:t>
      </w:r>
      <w:r>
        <w:rPr>
          <w:rFonts w:cs="Times New Roman"/>
          <w:szCs w:val="28"/>
        </w:rPr>
        <w:t>&lt;</w:t>
      </w:r>
      <w:r>
        <w:rPr>
          <w:szCs w:val="28"/>
        </w:rPr>
        <w:t>0,01), что, очевидно, является следствием активизации воспалительных процессов в организме экспериментальных животных. В дальнейшем отмечалось постепенное снижение уровня данного провоспалительного фактора с достижением исходных значений к 3 мес. послеоперационного периода и последующей стабилизацией (рис. 36).</w:t>
      </w:r>
    </w:p>
    <w:p w:rsidR="003F10E4" w:rsidRDefault="003F10E4" w:rsidP="003F10E4">
      <w:pPr>
        <w:jc w:val="center"/>
      </w:pPr>
      <w:r>
        <w:rPr>
          <w:noProof/>
          <w:lang w:eastAsia="ru-RU"/>
        </w:rPr>
        <w:lastRenderedPageBreak/>
        <w:drawing>
          <wp:inline distT="0" distB="0" distL="0" distR="0">
            <wp:extent cx="5619750" cy="3286125"/>
            <wp:effectExtent l="0" t="0" r="0" b="9525"/>
            <wp:docPr id="5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F10E4" w:rsidRDefault="003F10E4" w:rsidP="003F10E4">
      <w:pPr>
        <w:jc w:val="center"/>
        <w:rPr>
          <w:szCs w:val="28"/>
        </w:rPr>
      </w:pPr>
      <w:r>
        <w:t>Рис. 36. Динамика уровня фактора некроза опухоли</w:t>
      </w:r>
      <w:r w:rsidRPr="00757872">
        <w:rPr>
          <w:szCs w:val="28"/>
        </w:rPr>
        <w:t xml:space="preserve"> </w:t>
      </w:r>
      <w:r>
        <w:rPr>
          <w:szCs w:val="28"/>
        </w:rPr>
        <w:t>(пг/мл</w:t>
      </w:r>
      <w:r w:rsidRPr="00757872">
        <w:rPr>
          <w:szCs w:val="28"/>
        </w:rPr>
        <w:t>)</w:t>
      </w:r>
      <w:r>
        <w:rPr>
          <w:szCs w:val="28"/>
        </w:rPr>
        <w:t xml:space="preserve"> у экспериментальных животных в послеоперационном периоде</w:t>
      </w:r>
    </w:p>
    <w:p w:rsidR="003F10E4" w:rsidRDefault="003F10E4" w:rsidP="003F10E4">
      <w:pPr>
        <w:ind w:firstLine="708"/>
      </w:pPr>
      <w:r>
        <w:t xml:space="preserve">Аналогичные тенденции были </w:t>
      </w:r>
      <w:proofErr w:type="gramStart"/>
      <w:r>
        <w:t>отмечена</w:t>
      </w:r>
      <w:proofErr w:type="gramEnd"/>
      <w:r>
        <w:t xml:space="preserve"> и при анализе динамики других провоспалительных цитокинов, что отражено на рисунке 37. Из данных диаграммы следует, что для всех изученных цитокинов было характерно достоверное повышение уровня к 14 дню послеоперационного периода с последующим постепенным снижением и достижением исходных значений к концу срока катамнеза.</w:t>
      </w:r>
    </w:p>
    <w:p w:rsidR="003F10E4" w:rsidRDefault="003F10E4" w:rsidP="003F10E4">
      <w:pPr>
        <w:ind w:firstLine="708"/>
      </w:pPr>
    </w:p>
    <w:p w:rsidR="003F10E4" w:rsidRDefault="003F10E4" w:rsidP="003F10E4">
      <w:pPr>
        <w:ind w:firstLine="708"/>
      </w:pPr>
    </w:p>
    <w:p w:rsidR="003F10E4" w:rsidRDefault="003F10E4" w:rsidP="003F10E4">
      <w:pPr>
        <w:jc w:val="center"/>
      </w:pPr>
      <w:r>
        <w:rPr>
          <w:noProof/>
          <w:lang w:eastAsia="ru-RU"/>
        </w:rPr>
        <w:lastRenderedPageBreak/>
        <w:drawing>
          <wp:inline distT="0" distB="0" distL="0" distR="0">
            <wp:extent cx="5724525" cy="3609975"/>
            <wp:effectExtent l="0" t="0" r="9525" b="9525"/>
            <wp:docPr id="6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F10E4" w:rsidRDefault="003F10E4" w:rsidP="003F10E4">
      <w:pPr>
        <w:jc w:val="center"/>
        <w:rPr>
          <w:szCs w:val="28"/>
        </w:rPr>
      </w:pPr>
      <w:r>
        <w:t xml:space="preserve">Рис. 37. Динамика </w:t>
      </w:r>
      <w:r w:rsidRPr="00341B6B">
        <w:rPr>
          <w:szCs w:val="28"/>
        </w:rPr>
        <w:t xml:space="preserve">уровня </w:t>
      </w:r>
      <w:r w:rsidRPr="00341B6B">
        <w:rPr>
          <w:szCs w:val="28"/>
          <w:lang w:val="en-US"/>
        </w:rPr>
        <w:t>IL</w:t>
      </w:r>
      <w:r w:rsidRPr="00341B6B">
        <w:rPr>
          <w:szCs w:val="28"/>
        </w:rPr>
        <w:t xml:space="preserve">-6, </w:t>
      </w:r>
      <w:r w:rsidRPr="00341B6B">
        <w:rPr>
          <w:szCs w:val="28"/>
          <w:lang w:val="en-US"/>
        </w:rPr>
        <w:t>IL</w:t>
      </w:r>
      <w:r w:rsidRPr="00341B6B">
        <w:rPr>
          <w:szCs w:val="28"/>
        </w:rPr>
        <w:t xml:space="preserve">-1β  и </w:t>
      </w:r>
      <w:r w:rsidRPr="00341B6B">
        <w:rPr>
          <w:szCs w:val="28"/>
          <w:lang w:val="en-US"/>
        </w:rPr>
        <w:t>IL</w:t>
      </w:r>
      <w:r w:rsidRPr="00341B6B">
        <w:rPr>
          <w:szCs w:val="28"/>
        </w:rPr>
        <w:t>-8 (пг/мл) у экспериментальных</w:t>
      </w:r>
      <w:r>
        <w:rPr>
          <w:szCs w:val="28"/>
        </w:rPr>
        <w:t xml:space="preserve"> животных в послеоперационном периоде</w:t>
      </w:r>
    </w:p>
    <w:p w:rsidR="003F10E4" w:rsidRPr="002D4810" w:rsidRDefault="003F10E4" w:rsidP="003F10E4">
      <w:pPr>
        <w:ind w:firstLine="708"/>
      </w:pPr>
      <w:r w:rsidRPr="00536340">
        <w:t>Отмеченная динамика дает основание</w:t>
      </w:r>
      <w:r w:rsidRPr="001821ED">
        <w:t xml:space="preserve"> считать, что выявленные изменения обусловлены сохраняющимся, после</w:t>
      </w:r>
      <w:r w:rsidRPr="001A0FA8">
        <w:t xml:space="preserve"> имплантации, механическим воздействием </w:t>
      </w:r>
      <w:r w:rsidRPr="00BE3FDB">
        <w:t xml:space="preserve">имплантированного медицинского изделия </w:t>
      </w:r>
      <w:r w:rsidRPr="00877FA4">
        <w:t xml:space="preserve">на </w:t>
      </w:r>
      <w:r w:rsidRPr="004F298B">
        <w:t>пр</w:t>
      </w:r>
      <w:r w:rsidRPr="00EA2215">
        <w:t xml:space="preserve">илежащие структуры </w:t>
      </w:r>
      <w:r w:rsidRPr="00630343">
        <w:t xml:space="preserve">сердца животных, а не его токсическим эффектом. Вероятно, что через месяц после имплантации, </w:t>
      </w:r>
      <w:r w:rsidRPr="004450BC">
        <w:t xml:space="preserve">клапан </w:t>
      </w:r>
      <w:r w:rsidRPr="00EB2D3D">
        <w:t xml:space="preserve">окончательно фиксируется пролиферирующими клетками эндотелия, в результате чего прекращается механическое воздействие </w:t>
      </w:r>
      <w:r w:rsidRPr="00CB7D6C">
        <w:t xml:space="preserve">медицинского изделия </w:t>
      </w:r>
      <w:r w:rsidRPr="000A5DC4">
        <w:t xml:space="preserve">на </w:t>
      </w:r>
      <w:r w:rsidRPr="003D4C01">
        <w:t>прилежащие структуры,</w:t>
      </w:r>
      <w:r w:rsidRPr="00D840A4">
        <w:t xml:space="preserve"> что проявляется в снижении, а затем</w:t>
      </w:r>
      <w:r w:rsidRPr="002D4810">
        <w:t xml:space="preserve"> и нормализации содержания цитокинов в сыворотке крови.</w:t>
      </w:r>
    </w:p>
    <w:p w:rsidR="003F10E4" w:rsidRDefault="003F10E4" w:rsidP="003F10E4">
      <w:pPr>
        <w:ind w:firstLine="708"/>
      </w:pPr>
      <w:proofErr w:type="gramStart"/>
      <w:r>
        <w:t>Таким образом, н</w:t>
      </w:r>
      <w:r w:rsidRPr="00CB7D6C">
        <w:t>а основании проведенн</w:t>
      </w:r>
      <w:r>
        <w:t>ого анализа гематологических показателей экспериментальных животных после протезирования аортального клапана</w:t>
      </w:r>
      <w:r w:rsidRPr="00CB7D6C">
        <w:t xml:space="preserve"> </w:t>
      </w:r>
      <w:r>
        <w:t>можно констатировать</w:t>
      </w:r>
      <w:r w:rsidRPr="00CB7D6C">
        <w:t>, что процедура имплантации медицинского изделия «Протез эндоваскулярный аортального клапана сердца ALCOR с системой</w:t>
      </w:r>
      <w:r w:rsidRPr="000A5DC4">
        <w:t xml:space="preserve"> доставки и системой сборки одноразовый стерильный по ТУ 32.50.22-011-83540797-2017» и само медицинское изделие </w:t>
      </w:r>
      <w:r w:rsidRPr="000A5DC4">
        <w:lastRenderedPageBreak/>
        <w:t xml:space="preserve">не провоцируют необратимых системных изменений </w:t>
      </w:r>
      <w:r>
        <w:t xml:space="preserve">в </w:t>
      </w:r>
      <w:r w:rsidRPr="000A5DC4">
        <w:t>контролируемых гематологических показател</w:t>
      </w:r>
      <w:r>
        <w:t>ях.</w:t>
      </w:r>
      <w:r w:rsidRPr="000A5DC4">
        <w:t xml:space="preserve"> </w:t>
      </w:r>
      <w:proofErr w:type="gramEnd"/>
    </w:p>
    <w:p w:rsidR="00CC2F0B" w:rsidRPr="00A579C2" w:rsidRDefault="00CC2F0B" w:rsidP="00CC2F0B">
      <w:pPr>
        <w:tabs>
          <w:tab w:val="left" w:pos="0"/>
        </w:tabs>
        <w:rPr>
          <w:shd w:val="clear" w:color="auto" w:fill="FFFFFF"/>
        </w:rPr>
      </w:pPr>
    </w:p>
    <w:p w:rsidR="00CC2F0B" w:rsidRDefault="00CC2F0B" w:rsidP="00517E50">
      <w:pPr>
        <w:ind w:firstLine="708"/>
        <w:rPr>
          <w:b/>
        </w:rPr>
      </w:pPr>
      <w:r>
        <w:rPr>
          <w:b/>
        </w:rPr>
        <w:br w:type="page"/>
      </w:r>
    </w:p>
    <w:p w:rsidR="00CC2F0B" w:rsidRDefault="00CC2F0B" w:rsidP="00CC2F0B">
      <w:pPr>
        <w:pStyle w:val="a7"/>
        <w:numPr>
          <w:ilvl w:val="0"/>
          <w:numId w:val="6"/>
        </w:numPr>
      </w:pPr>
      <w:r>
        <w:lastRenderedPageBreak/>
        <w:t>Акчурин</w:t>
      </w:r>
      <w:r w:rsidRPr="00CC2F0B">
        <w:t xml:space="preserve"> </w:t>
      </w:r>
      <w:r>
        <w:t>Р</w:t>
      </w:r>
      <w:r w:rsidRPr="00CC2F0B">
        <w:t>.</w:t>
      </w:r>
      <w:r>
        <w:t>С</w:t>
      </w:r>
      <w:r w:rsidRPr="00CC2F0B">
        <w:t xml:space="preserve">., </w:t>
      </w:r>
      <w:r>
        <w:t>Имаев</w:t>
      </w:r>
      <w:r w:rsidRPr="00CC2F0B">
        <w:t xml:space="preserve"> </w:t>
      </w:r>
      <w:r>
        <w:t>Т</w:t>
      </w:r>
      <w:r w:rsidRPr="00CC2F0B">
        <w:t>.</w:t>
      </w:r>
      <w:r>
        <w:t>Э</w:t>
      </w:r>
      <w:r w:rsidRPr="00CC2F0B">
        <w:t xml:space="preserve">., </w:t>
      </w:r>
      <w:r>
        <w:t>Комлев</w:t>
      </w:r>
      <w:r w:rsidRPr="00CC2F0B">
        <w:t xml:space="preserve"> </w:t>
      </w:r>
      <w:r>
        <w:t>А</w:t>
      </w:r>
      <w:r w:rsidRPr="00CC2F0B">
        <w:t>.</w:t>
      </w:r>
      <w:r>
        <w:t>Е</w:t>
      </w:r>
      <w:r w:rsidRPr="00CC2F0B">
        <w:t xml:space="preserve">.  </w:t>
      </w:r>
      <w:r>
        <w:t>и др. Трансаортальная имплантация биопротеза аортального клапана с одномоментной операцией коронарного шунтирования без искусственного кровообращения у пациента из группы высокого риска  // Кардиология. – 2016б. – Т. 56. – С. 12-15</w:t>
      </w:r>
    </w:p>
    <w:p w:rsidR="00CC2F0B" w:rsidRDefault="00CC2F0B" w:rsidP="00CC2F0B">
      <w:pPr>
        <w:pStyle w:val="a7"/>
        <w:numPr>
          <w:ilvl w:val="0"/>
          <w:numId w:val="6"/>
        </w:numPr>
      </w:pPr>
      <w:r>
        <w:t>Акчурин</w:t>
      </w:r>
      <w:r w:rsidRPr="00A019F6">
        <w:t xml:space="preserve"> </w:t>
      </w:r>
      <w:r>
        <w:t>Р</w:t>
      </w:r>
      <w:r w:rsidRPr="00A019F6">
        <w:t>.</w:t>
      </w:r>
      <w:r>
        <w:t>С</w:t>
      </w:r>
      <w:r w:rsidRPr="00A019F6">
        <w:t xml:space="preserve">., </w:t>
      </w:r>
      <w:r w:rsidRPr="00A019F6">
        <w:rPr>
          <w:bdr w:val="none" w:sz="0" w:space="0" w:color="auto" w:frame="1"/>
        </w:rPr>
        <w:t>Имаев Т.Э., Комлев А.Е. и др. Клинический случай успешного транскатет</w:t>
      </w:r>
      <w:proofErr w:type="gramStart"/>
      <w:r w:rsidRPr="00A019F6">
        <w:rPr>
          <w:bdr w:val="none" w:sz="0" w:space="0" w:color="auto" w:frame="1"/>
        </w:rPr>
        <w:t>e</w:t>
      </w:r>
      <w:proofErr w:type="gramEnd"/>
      <w:r w:rsidRPr="00A019F6">
        <w:rPr>
          <w:bdr w:val="none" w:sz="0" w:space="0" w:color="auto" w:frame="1"/>
        </w:rPr>
        <w:t xml:space="preserve">рного протезирования аортального клапана через правую подключичную артерию // </w:t>
      </w:r>
      <w:hyperlink r:id="rId65" w:history="1">
        <w:r w:rsidRPr="00C71896">
          <w:t>Международный журнал интервенционной кардиоангиологии</w:t>
        </w:r>
      </w:hyperlink>
      <w:r>
        <w:t>. – 2016а. - №45. – С. 15-18</w:t>
      </w:r>
    </w:p>
    <w:p w:rsidR="00CC2F0B" w:rsidRDefault="00CC2F0B" w:rsidP="00CC2F0B">
      <w:pPr>
        <w:pStyle w:val="a7"/>
        <w:numPr>
          <w:ilvl w:val="0"/>
          <w:numId w:val="6"/>
        </w:numPr>
      </w:pPr>
      <w:r>
        <w:t xml:space="preserve">Аортальная регургитация: Клинические рекомендации. / Ассоциация </w:t>
      </w:r>
      <w:proofErr w:type="gramStart"/>
      <w:r>
        <w:t>сердечно-сосудистых</w:t>
      </w:r>
      <w:proofErr w:type="gramEnd"/>
      <w:r>
        <w:t xml:space="preserve"> хирургов России; Всероссийское научное общество кардиологов. – М., 2016. – 36 с.</w:t>
      </w:r>
    </w:p>
    <w:p w:rsidR="00CC2F0B" w:rsidRDefault="00CC2F0B" w:rsidP="00CC2F0B">
      <w:pPr>
        <w:pStyle w:val="a7"/>
        <w:numPr>
          <w:ilvl w:val="0"/>
          <w:numId w:val="6"/>
        </w:numPr>
        <w:tabs>
          <w:tab w:val="left" w:pos="975"/>
        </w:tabs>
      </w:pPr>
      <w:r>
        <w:t>Астапов Д.</w:t>
      </w:r>
      <w:r w:rsidRPr="00DB5883">
        <w:t>А., Жу</w:t>
      </w:r>
      <w:r>
        <w:t xml:space="preserve">равлева И.Ю., Клышников К.Ю. </w:t>
      </w:r>
      <w:r w:rsidRPr="00DB5883">
        <w:t xml:space="preserve">и др. Экспериментальное и клиническое обоснование эффективности имплантации в аортальную позицию биопротеза «ТИАРА» на каркасе из нитинола. </w:t>
      </w:r>
      <w:r>
        <w:t xml:space="preserve">// </w:t>
      </w:r>
      <w:r w:rsidRPr="00DB5883">
        <w:t xml:space="preserve">Комплексные проблемы </w:t>
      </w:r>
      <w:proofErr w:type="gramStart"/>
      <w:r w:rsidRPr="00DB5883">
        <w:t>сердечно-сосудистых</w:t>
      </w:r>
      <w:proofErr w:type="gramEnd"/>
      <w:r w:rsidRPr="00DB5883">
        <w:t xml:space="preserve"> заболеваний. </w:t>
      </w:r>
      <w:r>
        <w:t xml:space="preserve">– </w:t>
      </w:r>
      <w:r w:rsidRPr="00DB5883">
        <w:t>2013</w:t>
      </w:r>
      <w:r>
        <w:t>. – Т.</w:t>
      </w:r>
      <w:r w:rsidRPr="00DB5883">
        <w:t xml:space="preserve"> 4</w:t>
      </w:r>
      <w:r>
        <w:t>. – С. 17-21. </w:t>
      </w:r>
    </w:p>
    <w:p w:rsidR="00CC2F0B" w:rsidRPr="00A019F6" w:rsidRDefault="00CC2F0B" w:rsidP="00CC2F0B">
      <w:pPr>
        <w:pStyle w:val="a7"/>
        <w:numPr>
          <w:ilvl w:val="0"/>
          <w:numId w:val="6"/>
        </w:numPr>
        <w:rPr>
          <w:lang w:val="en-US"/>
        </w:rPr>
      </w:pPr>
      <w:r>
        <w:t>Беляев</w:t>
      </w:r>
      <w:r w:rsidRPr="00DB5883">
        <w:t xml:space="preserve"> </w:t>
      </w:r>
      <w:r>
        <w:t>С</w:t>
      </w:r>
      <w:r w:rsidRPr="00DB5883">
        <w:t>.</w:t>
      </w:r>
      <w:r>
        <w:t>А</w:t>
      </w:r>
      <w:r w:rsidRPr="00DB5883">
        <w:t xml:space="preserve">, </w:t>
      </w:r>
      <w:r>
        <w:t>Леонтьев</w:t>
      </w:r>
      <w:r w:rsidRPr="00DB5883">
        <w:t xml:space="preserve"> </w:t>
      </w:r>
      <w:r>
        <w:t>С</w:t>
      </w:r>
      <w:r w:rsidRPr="00DB5883">
        <w:t>.</w:t>
      </w:r>
      <w:r>
        <w:t>А</w:t>
      </w:r>
      <w:r w:rsidRPr="00DB5883">
        <w:t xml:space="preserve">., </w:t>
      </w:r>
      <w:r>
        <w:t>Мор</w:t>
      </w:r>
      <w:r w:rsidRPr="00DB5883">
        <w:t xml:space="preserve"> </w:t>
      </w:r>
      <w:r>
        <w:t>Ф</w:t>
      </w:r>
      <w:r w:rsidRPr="00DB5883">
        <w:t>.</w:t>
      </w:r>
      <w:r>
        <w:t>В</w:t>
      </w:r>
      <w:r w:rsidRPr="00DB5883">
        <w:t xml:space="preserve">. </w:t>
      </w:r>
      <w:r>
        <w:t>Транскатетерная</w:t>
      </w:r>
      <w:r w:rsidRPr="00DB5883">
        <w:t xml:space="preserve"> </w:t>
      </w:r>
      <w:r>
        <w:t>имплантация</w:t>
      </w:r>
      <w:r w:rsidRPr="00DB5883">
        <w:t xml:space="preserve"> </w:t>
      </w:r>
      <w:r>
        <w:t>аортального</w:t>
      </w:r>
      <w:r w:rsidRPr="00DB5883">
        <w:t xml:space="preserve"> </w:t>
      </w:r>
      <w:r>
        <w:t>клапана</w:t>
      </w:r>
      <w:r w:rsidRPr="00DB5883">
        <w:t xml:space="preserve"> // </w:t>
      </w:r>
      <w:r>
        <w:t>Креативная</w:t>
      </w:r>
      <w:r w:rsidRPr="00DB5883">
        <w:t xml:space="preserve"> </w:t>
      </w:r>
      <w:r>
        <w:t>кардиоло</w:t>
      </w:r>
      <w:r w:rsidRPr="005A304B">
        <w:t>гия</w:t>
      </w:r>
      <w:r w:rsidRPr="00DB5883">
        <w:t>. – 2015. –</w:t>
      </w:r>
      <w:r>
        <w:t xml:space="preserve"> Т. </w:t>
      </w:r>
      <w:r w:rsidRPr="00DB5883">
        <w:t xml:space="preserve"> </w:t>
      </w:r>
      <w:r w:rsidRPr="00A019F6">
        <w:rPr>
          <w:lang w:val="en-US"/>
        </w:rPr>
        <w:t xml:space="preserve">9 (4). – </w:t>
      </w:r>
      <w:r>
        <w:t>С</w:t>
      </w:r>
      <w:r w:rsidRPr="00A019F6">
        <w:rPr>
          <w:lang w:val="en-US"/>
        </w:rPr>
        <w:t>.  25–33.</w:t>
      </w:r>
    </w:p>
    <w:p w:rsidR="00CC2F0B" w:rsidRPr="00A019F6" w:rsidRDefault="00CC2F0B" w:rsidP="00CC2F0B">
      <w:pPr>
        <w:pStyle w:val="a7"/>
        <w:numPr>
          <w:ilvl w:val="0"/>
          <w:numId w:val="6"/>
        </w:numPr>
        <w:rPr>
          <w:lang w:val="en-US"/>
        </w:rPr>
      </w:pPr>
      <w:r w:rsidRPr="00670031">
        <w:t xml:space="preserve">Богачев-Прокофьев А.В., Шарифулин Р.М., Зубарев Д.Д., Караськов А.М. </w:t>
      </w:r>
      <w:hyperlink r:id="rId66" w:history="1">
        <w:r w:rsidRPr="00670031">
          <w:t>Первый опыт имплантации транскатетерного протеза аортального клапана “</w:t>
        </w:r>
        <w:r>
          <w:t>М</w:t>
        </w:r>
        <w:r w:rsidRPr="00670031">
          <w:t>едлаб-</w:t>
        </w:r>
        <w:r>
          <w:t>КТ</w:t>
        </w:r>
        <w:r w:rsidRPr="00670031">
          <w:t>”</w:t>
        </w:r>
      </w:hyperlink>
      <w:r>
        <w:t xml:space="preserve"> // </w:t>
      </w:r>
      <w:hyperlink r:id="rId67" w:history="1">
        <w:r w:rsidRPr="00670031">
          <w:t>Российский кардиологический журнал</w:t>
        </w:r>
      </w:hyperlink>
      <w:r w:rsidRPr="00670031">
        <w:t xml:space="preserve">. </w:t>
      </w:r>
      <w:r>
        <w:t xml:space="preserve">– </w:t>
      </w:r>
      <w:r w:rsidRPr="00670031">
        <w:t xml:space="preserve">2018. </w:t>
      </w:r>
      <w:r>
        <w:t xml:space="preserve">– </w:t>
      </w:r>
      <w:r w:rsidRPr="00670031">
        <w:t>Т. 23. </w:t>
      </w:r>
      <w:hyperlink r:id="rId68" w:history="1">
        <w:r w:rsidRPr="00A019F6">
          <w:rPr>
            <w:lang w:val="en-US"/>
          </w:rPr>
          <w:t>№11</w:t>
        </w:r>
      </w:hyperlink>
      <w:r w:rsidRPr="00A019F6">
        <w:rPr>
          <w:lang w:val="en-US"/>
        </w:rPr>
        <w:t xml:space="preserve">. – </w:t>
      </w:r>
      <w:r w:rsidRPr="00670031">
        <w:t>С</w:t>
      </w:r>
      <w:r w:rsidRPr="00A019F6">
        <w:rPr>
          <w:lang w:val="en-US"/>
        </w:rPr>
        <w:t>. 50-56.</w:t>
      </w:r>
    </w:p>
    <w:p w:rsidR="00CC2F0B" w:rsidRPr="00A019F6" w:rsidRDefault="00CC2F0B" w:rsidP="00CC2F0B">
      <w:pPr>
        <w:pStyle w:val="a7"/>
        <w:numPr>
          <w:ilvl w:val="0"/>
          <w:numId w:val="6"/>
        </w:numPr>
      </w:pPr>
      <w:r w:rsidRPr="00D0783C">
        <w:t>Бокерия</w:t>
      </w:r>
      <w:r w:rsidRPr="00D7052F">
        <w:t xml:space="preserve"> </w:t>
      </w:r>
      <w:r w:rsidRPr="00D0783C">
        <w:t>Л</w:t>
      </w:r>
      <w:r w:rsidRPr="00D7052F">
        <w:t>.</w:t>
      </w:r>
      <w:r w:rsidRPr="00D0783C">
        <w:t>А</w:t>
      </w:r>
      <w:r w:rsidRPr="00D7052F">
        <w:t xml:space="preserve">., </w:t>
      </w:r>
      <w:r w:rsidRPr="00D0783C">
        <w:t>Алекян</w:t>
      </w:r>
      <w:r w:rsidRPr="00D7052F">
        <w:t xml:space="preserve"> </w:t>
      </w:r>
      <w:r w:rsidRPr="00D0783C">
        <w:t>Б</w:t>
      </w:r>
      <w:r w:rsidRPr="00D7052F">
        <w:t>.</w:t>
      </w:r>
      <w:r w:rsidRPr="00D0783C">
        <w:t>Г</w:t>
      </w:r>
      <w:r w:rsidRPr="00D7052F">
        <w:t xml:space="preserve">., </w:t>
      </w:r>
      <w:r w:rsidRPr="00D0783C">
        <w:t>Пурсанов</w:t>
      </w:r>
      <w:r w:rsidRPr="00D7052F">
        <w:t xml:space="preserve"> </w:t>
      </w:r>
      <w:r w:rsidRPr="00D0783C">
        <w:t>М</w:t>
      </w:r>
      <w:r w:rsidRPr="00D7052F">
        <w:t>.</w:t>
      </w:r>
      <w:r w:rsidRPr="00D0783C">
        <w:t>Г</w:t>
      </w:r>
      <w:r w:rsidRPr="00D7052F">
        <w:t xml:space="preserve">. </w:t>
      </w:r>
      <w:r>
        <w:t>и</w:t>
      </w:r>
      <w:r w:rsidRPr="00D7052F">
        <w:t xml:space="preserve"> </w:t>
      </w:r>
      <w:r>
        <w:t>др</w:t>
      </w:r>
      <w:r w:rsidRPr="00D7052F">
        <w:t xml:space="preserve">. </w:t>
      </w:r>
      <w:r w:rsidRPr="00A019F6">
        <w:rPr>
          <w:rStyle w:val="ab"/>
          <w:szCs w:val="28"/>
        </w:rPr>
        <w:t xml:space="preserve">Эндоваскулярная имплантация аортального клапана. Первый опыт в России // </w:t>
      </w:r>
      <w:r w:rsidRPr="00D0783C">
        <w:t>Грудная</w:t>
      </w:r>
      <w:r>
        <w:t xml:space="preserve"> и </w:t>
      </w:r>
      <w:proofErr w:type="gramStart"/>
      <w:r>
        <w:t>сердечно-сосудистая</w:t>
      </w:r>
      <w:proofErr w:type="gramEnd"/>
      <w:r>
        <w:t xml:space="preserve"> хирургия. – </w:t>
      </w:r>
      <w:r w:rsidRPr="00D0783C">
        <w:t>2010.-</w:t>
      </w:r>
      <w:r>
        <w:t xml:space="preserve"> </w:t>
      </w:r>
      <w:r w:rsidRPr="00A019F6">
        <w:rPr>
          <w:lang w:val="en-US"/>
        </w:rPr>
        <w:t>N</w:t>
      </w:r>
      <w:r w:rsidRPr="00A019F6">
        <w:t xml:space="preserve"> 4. - </w:t>
      </w:r>
      <w:r w:rsidRPr="00D0783C">
        <w:t>С</w:t>
      </w:r>
      <w:r w:rsidRPr="00A019F6">
        <w:t>.42-44</w:t>
      </w:r>
    </w:p>
    <w:p w:rsidR="00CC2F0B" w:rsidRDefault="00CC2F0B" w:rsidP="00CC2F0B">
      <w:pPr>
        <w:pStyle w:val="a7"/>
        <w:numPr>
          <w:ilvl w:val="0"/>
          <w:numId w:val="6"/>
        </w:numPr>
      </w:pPr>
      <w:r w:rsidRPr="002E5497">
        <w:t xml:space="preserve">Бокерия Л.А., Бокерия О.Л., Фадеев А.А. и др. Первый опыт применения трехстворчатого протеза сердечного клапана «КорБит» у пациента с </w:t>
      </w:r>
      <w:r w:rsidRPr="002E5497">
        <w:lastRenderedPageBreak/>
        <w:t xml:space="preserve">митральным пороком сердца и постоянной формой фибрилляции предсердий. </w:t>
      </w:r>
      <w:r>
        <w:t xml:space="preserve">// </w:t>
      </w:r>
      <w:r w:rsidRPr="002E5497">
        <w:t xml:space="preserve">Анналы хирургии. </w:t>
      </w:r>
      <w:r>
        <w:t xml:space="preserve">– </w:t>
      </w:r>
      <w:r w:rsidRPr="002E5497">
        <w:t>2008</w:t>
      </w:r>
      <w:r>
        <w:t>. – Т.</w:t>
      </w:r>
      <w:r w:rsidRPr="002E5497">
        <w:t xml:space="preserve"> 2</w:t>
      </w:r>
      <w:r>
        <w:t>. – С.</w:t>
      </w:r>
      <w:r w:rsidRPr="002E5497">
        <w:t xml:space="preserve"> 25–31</w:t>
      </w:r>
    </w:p>
    <w:p w:rsidR="00CC2F0B" w:rsidRPr="00A019F6" w:rsidRDefault="00CC2F0B" w:rsidP="00CC2F0B">
      <w:pPr>
        <w:pStyle w:val="a7"/>
        <w:numPr>
          <w:ilvl w:val="0"/>
          <w:numId w:val="6"/>
        </w:numPr>
        <w:rPr>
          <w:bdr w:val="none" w:sz="0" w:space="0" w:color="auto" w:frame="1"/>
        </w:rPr>
      </w:pPr>
      <w:r>
        <w:t xml:space="preserve">Борисов И.А., Блеткин А.Н., Савичев Д.Д. </w:t>
      </w:r>
      <w:r w:rsidRPr="00A019F6">
        <w:rPr>
          <w:bdr w:val="none" w:sz="0" w:space="0" w:color="auto" w:frame="1"/>
        </w:rPr>
        <w:t>Биологические протезы клапанов сердца в современной кардиохирургии // Клиническая медицина. – 2012. – №2. – С. 4-7</w:t>
      </w:r>
    </w:p>
    <w:p w:rsidR="00CC2F0B" w:rsidRDefault="00CC2F0B" w:rsidP="00CC2F0B">
      <w:pPr>
        <w:pStyle w:val="a7"/>
        <w:numPr>
          <w:ilvl w:val="0"/>
          <w:numId w:val="6"/>
        </w:numPr>
      </w:pPr>
      <w:r>
        <w:t>Варясин В.В.</w:t>
      </w:r>
      <w:r w:rsidRPr="003D6727">
        <w:t>, Евдокимова</w:t>
      </w:r>
      <w:r>
        <w:t xml:space="preserve"> </w:t>
      </w:r>
      <w:r w:rsidRPr="003D6727">
        <w:t>А.Г.</w:t>
      </w:r>
      <w:r>
        <w:t xml:space="preserve"> Структурно-функциональные изменения </w:t>
      </w:r>
      <w:proofErr w:type="gramStart"/>
      <w:r>
        <w:t>c</w:t>
      </w:r>
      <w:proofErr w:type="gramEnd"/>
      <w:r>
        <w:t>ердца при вторичных аортальных пороках и после их протезирования // Трудный пациент. – 2010. – Т. 8, №6-7. – С. 5-9</w:t>
      </w:r>
    </w:p>
    <w:p w:rsidR="00CC2F0B" w:rsidRDefault="00CC2F0B" w:rsidP="00CC2F0B">
      <w:pPr>
        <w:pStyle w:val="a7"/>
        <w:numPr>
          <w:ilvl w:val="0"/>
          <w:numId w:val="6"/>
        </w:numPr>
      </w:pPr>
      <w:r w:rsidRPr="003A00DB">
        <w:t xml:space="preserve">Гариленков Д. В., Маслевцов А. Д., Юхнев А. Д. и др. Биомеханические и потоковые характеристики </w:t>
      </w:r>
      <w:proofErr w:type="gramStart"/>
      <w:r w:rsidRPr="003A00DB">
        <w:t>бескаркасных</w:t>
      </w:r>
      <w:proofErr w:type="gramEnd"/>
      <w:r w:rsidRPr="003A00DB">
        <w:t xml:space="preserve"> и каркасных биопротезов аортального клапана.</w:t>
      </w:r>
      <w:r>
        <w:t xml:space="preserve"> //</w:t>
      </w:r>
      <w:r w:rsidRPr="003A00DB">
        <w:t xml:space="preserve"> Вестн. хир. </w:t>
      </w:r>
      <w:r>
        <w:t xml:space="preserve">– </w:t>
      </w:r>
      <w:r w:rsidRPr="003A00DB">
        <w:t>2004</w:t>
      </w:r>
      <w:r>
        <w:t>. – Т.</w:t>
      </w:r>
      <w:r w:rsidRPr="003A00DB">
        <w:t xml:space="preserve"> 163 (5)</w:t>
      </w:r>
      <w:r>
        <w:t>. – С.</w:t>
      </w:r>
      <w:r w:rsidRPr="003A00DB">
        <w:t xml:space="preserve"> 25—30. </w:t>
      </w:r>
    </w:p>
    <w:p w:rsidR="00CC2F0B" w:rsidRDefault="00CC2F0B" w:rsidP="00CC2F0B">
      <w:pPr>
        <w:pStyle w:val="a7"/>
        <w:numPr>
          <w:ilvl w:val="0"/>
          <w:numId w:val="6"/>
        </w:numPr>
      </w:pPr>
      <w:r>
        <w:t>Имаев</w:t>
      </w:r>
      <w:r w:rsidRPr="006463A6">
        <w:t xml:space="preserve"> </w:t>
      </w:r>
      <w:r>
        <w:t>Т.Э., Комлев</w:t>
      </w:r>
      <w:r w:rsidRPr="006463A6">
        <w:t xml:space="preserve"> </w:t>
      </w:r>
      <w:r>
        <w:t>А.Е., Акчурин Р.С. Прогноз при транскатетерной имплантац</w:t>
      </w:r>
      <w:proofErr w:type="gramStart"/>
      <w:r>
        <w:t>ии ао</w:t>
      </w:r>
      <w:proofErr w:type="gramEnd"/>
      <w:r>
        <w:t>ртального клапана // Рациональная Фармакотерапия в Кардиологии</w:t>
      </w:r>
      <w:r w:rsidRPr="00DB5883">
        <w:t xml:space="preserve">. – </w:t>
      </w:r>
      <w:r>
        <w:t xml:space="preserve"> 2016. – Т. 12(6). – С. 718-724</w:t>
      </w:r>
    </w:p>
    <w:p w:rsidR="00CC2F0B" w:rsidRDefault="00CC2F0B" w:rsidP="00CC2F0B">
      <w:pPr>
        <w:pStyle w:val="a7"/>
        <w:numPr>
          <w:ilvl w:val="0"/>
          <w:numId w:val="6"/>
        </w:numPr>
        <w:rPr>
          <w:lang w:eastAsia="ru-RU"/>
        </w:rPr>
      </w:pPr>
      <w:r w:rsidRPr="00A636EB">
        <w:rPr>
          <w:lang w:eastAsia="ru-RU"/>
        </w:rPr>
        <w:t>Имаев Т.Э., Комлев А.Е., Акчурин Р.С.</w:t>
      </w:r>
      <w:r>
        <w:rPr>
          <w:lang w:eastAsia="ru-RU"/>
        </w:rPr>
        <w:t xml:space="preserve"> </w:t>
      </w:r>
      <w:r w:rsidRPr="00A636EB">
        <w:rPr>
          <w:lang w:eastAsia="ru-RU"/>
        </w:rPr>
        <w:t xml:space="preserve">Транскатетерная имплантация аортального клапана. Состояние проблемы, перспективы в России. </w:t>
      </w:r>
      <w:r>
        <w:rPr>
          <w:lang w:eastAsia="ru-RU"/>
        </w:rPr>
        <w:t xml:space="preserve">// </w:t>
      </w:r>
      <w:r w:rsidRPr="00A636EB">
        <w:rPr>
          <w:lang w:eastAsia="ru-RU"/>
        </w:rPr>
        <w:t xml:space="preserve">Рациональная фармакотерапия в кардиологии. </w:t>
      </w:r>
      <w:r>
        <w:rPr>
          <w:lang w:eastAsia="ru-RU"/>
        </w:rPr>
        <w:t xml:space="preserve">– </w:t>
      </w:r>
      <w:r w:rsidRPr="00A636EB">
        <w:rPr>
          <w:lang w:eastAsia="ru-RU"/>
        </w:rPr>
        <w:t>2015</w:t>
      </w:r>
      <w:r>
        <w:rPr>
          <w:lang w:eastAsia="ru-RU"/>
        </w:rPr>
        <w:t>а. – Т.</w:t>
      </w:r>
      <w:r w:rsidRPr="00A636EB">
        <w:rPr>
          <w:lang w:eastAsia="ru-RU"/>
        </w:rPr>
        <w:t xml:space="preserve"> 11 (1)</w:t>
      </w:r>
      <w:r>
        <w:rPr>
          <w:lang w:eastAsia="ru-RU"/>
        </w:rPr>
        <w:t>. – С.</w:t>
      </w:r>
      <w:r w:rsidRPr="00A636EB">
        <w:rPr>
          <w:lang w:eastAsia="ru-RU"/>
        </w:rPr>
        <w:t>53-59.</w:t>
      </w:r>
    </w:p>
    <w:p w:rsidR="00CC2F0B" w:rsidRDefault="00CC2F0B" w:rsidP="00CC2F0B">
      <w:pPr>
        <w:pStyle w:val="a7"/>
        <w:numPr>
          <w:ilvl w:val="0"/>
          <w:numId w:val="6"/>
        </w:numPr>
      </w:pPr>
      <w:proofErr w:type="gramStart"/>
      <w:r w:rsidRPr="00960D07">
        <w:t>Имаев</w:t>
      </w:r>
      <w:r w:rsidRPr="00A019F6">
        <w:t xml:space="preserve"> </w:t>
      </w:r>
      <w:r w:rsidRPr="00960D07">
        <w:t>Т</w:t>
      </w:r>
      <w:r w:rsidRPr="00A019F6">
        <w:t>.</w:t>
      </w:r>
      <w:r>
        <w:t>Э</w:t>
      </w:r>
      <w:r w:rsidRPr="00A019F6">
        <w:t xml:space="preserve">., </w:t>
      </w:r>
      <w:r>
        <w:t>Комлев</w:t>
      </w:r>
      <w:r w:rsidRPr="00A019F6">
        <w:t xml:space="preserve"> </w:t>
      </w:r>
      <w:r>
        <w:t>А</w:t>
      </w:r>
      <w:r w:rsidRPr="00A019F6">
        <w:t>.</w:t>
      </w:r>
      <w:r>
        <w:t>Е</w:t>
      </w:r>
      <w:r w:rsidRPr="00A019F6">
        <w:t xml:space="preserve">., </w:t>
      </w:r>
      <w:r>
        <w:t>Колегаев</w:t>
      </w:r>
      <w:r w:rsidRPr="00A019F6">
        <w:t xml:space="preserve"> </w:t>
      </w:r>
      <w:r>
        <w:t>А</w:t>
      </w:r>
      <w:r w:rsidRPr="00A019F6">
        <w:t>.</w:t>
      </w:r>
      <w:r>
        <w:t>С</w:t>
      </w:r>
      <w:r w:rsidRPr="00A019F6">
        <w:t xml:space="preserve">. </w:t>
      </w:r>
      <w:r>
        <w:t>и</w:t>
      </w:r>
      <w:r w:rsidRPr="00A019F6">
        <w:t xml:space="preserve"> </w:t>
      </w:r>
      <w:r>
        <w:t>др</w:t>
      </w:r>
      <w:r w:rsidRPr="00A019F6">
        <w:t xml:space="preserve">. </w:t>
      </w:r>
      <w:r w:rsidRPr="00960D07">
        <w:t>Трансфеморальное протезирование аортального клапана по поводу тяжелой аортальной регургитации у пациентки с механическим протезом митрального клапана</w:t>
      </w:r>
      <w:r>
        <w:t xml:space="preserve"> // </w:t>
      </w:r>
      <w:hyperlink r:id="rId69" w:history="1">
        <w:r w:rsidRPr="00960D07">
          <w:t>Кардиологический вестник</w:t>
        </w:r>
      </w:hyperlink>
      <w:r w:rsidRPr="00960D07">
        <w:t xml:space="preserve">. </w:t>
      </w:r>
      <w:r>
        <w:t xml:space="preserve">– </w:t>
      </w:r>
      <w:r w:rsidRPr="00960D07">
        <w:t>2015.</w:t>
      </w:r>
      <w:proofErr w:type="gramEnd"/>
      <w:r w:rsidRPr="00960D07">
        <w:t xml:space="preserve"> </w:t>
      </w:r>
      <w:r>
        <w:t xml:space="preserve">– </w:t>
      </w:r>
      <w:r w:rsidRPr="00960D07">
        <w:t>Т. 10. </w:t>
      </w:r>
      <w:hyperlink r:id="rId70" w:history="1">
        <w:r>
          <w:t>№</w:t>
        </w:r>
        <w:r w:rsidRPr="00960D07">
          <w:t>2</w:t>
        </w:r>
      </w:hyperlink>
      <w:r w:rsidRPr="00960D07">
        <w:t xml:space="preserve">. </w:t>
      </w:r>
      <w:r>
        <w:t xml:space="preserve">– </w:t>
      </w:r>
      <w:r w:rsidRPr="00960D07">
        <w:t>С. 66-71.</w:t>
      </w:r>
    </w:p>
    <w:p w:rsidR="00CC2F0B" w:rsidRDefault="00CC2F0B" w:rsidP="00CC2F0B">
      <w:pPr>
        <w:pStyle w:val="a7"/>
        <w:numPr>
          <w:ilvl w:val="0"/>
          <w:numId w:val="6"/>
        </w:numPr>
        <w:rPr>
          <w:lang w:eastAsia="ru-RU"/>
        </w:rPr>
      </w:pPr>
      <w:r w:rsidRPr="00A636EB">
        <w:rPr>
          <w:lang w:eastAsia="ru-RU"/>
        </w:rPr>
        <w:t xml:space="preserve">Имаев Т.Э., Комлев А.Е., Саидова М.А., Марголина А.А., Акчурин Р.С. Пятилетний опыт транскатетерной имплантации биопротезов аортального клапана в ФГБУ Российской кардиологический научно-производственный комплекс Минздрава России. </w:t>
      </w:r>
      <w:r>
        <w:rPr>
          <w:lang w:eastAsia="ru-RU"/>
        </w:rPr>
        <w:t xml:space="preserve">// </w:t>
      </w:r>
      <w:r w:rsidRPr="00A636EB">
        <w:rPr>
          <w:lang w:eastAsia="ru-RU"/>
        </w:rPr>
        <w:t xml:space="preserve">Consilium Medicum. </w:t>
      </w:r>
      <w:r>
        <w:rPr>
          <w:lang w:eastAsia="ru-RU"/>
        </w:rPr>
        <w:t xml:space="preserve">– </w:t>
      </w:r>
      <w:r w:rsidRPr="00A636EB">
        <w:rPr>
          <w:lang w:eastAsia="ru-RU"/>
        </w:rPr>
        <w:t>2015</w:t>
      </w:r>
      <w:r>
        <w:rPr>
          <w:lang w:eastAsia="ru-RU"/>
        </w:rPr>
        <w:t xml:space="preserve">. – Т. </w:t>
      </w:r>
      <w:r w:rsidRPr="00A636EB">
        <w:rPr>
          <w:lang w:eastAsia="ru-RU"/>
        </w:rPr>
        <w:t>17 (10)</w:t>
      </w:r>
      <w:r>
        <w:rPr>
          <w:lang w:eastAsia="ru-RU"/>
        </w:rPr>
        <w:t>. – С.</w:t>
      </w:r>
      <w:r w:rsidRPr="00A636EB">
        <w:rPr>
          <w:lang w:eastAsia="ru-RU"/>
        </w:rPr>
        <w:t xml:space="preserve"> 67-72.</w:t>
      </w:r>
    </w:p>
    <w:p w:rsidR="00CC2F0B" w:rsidRPr="00A019F6" w:rsidRDefault="00CC2F0B" w:rsidP="00CC2F0B">
      <w:pPr>
        <w:pStyle w:val="a7"/>
        <w:numPr>
          <w:ilvl w:val="0"/>
          <w:numId w:val="6"/>
        </w:numPr>
      </w:pPr>
      <w:r w:rsidRPr="00A019F6">
        <w:rPr>
          <w:shd w:val="clear" w:color="auto" w:fill="FFFFFF"/>
        </w:rPr>
        <w:t>Имаев Т.Э., Комлев А.Е., Саличкин Д.В. и др. Использование подключичного доступа при транскатетерной имплантац</w:t>
      </w:r>
      <w:proofErr w:type="gramStart"/>
      <w:r w:rsidRPr="00A019F6">
        <w:rPr>
          <w:shd w:val="clear" w:color="auto" w:fill="FFFFFF"/>
        </w:rPr>
        <w:t>ии ао</w:t>
      </w:r>
      <w:proofErr w:type="gramEnd"/>
      <w:r w:rsidRPr="00A019F6">
        <w:rPr>
          <w:shd w:val="clear" w:color="auto" w:fill="FFFFFF"/>
        </w:rPr>
        <w:t xml:space="preserve">ртального </w:t>
      </w:r>
      <w:r w:rsidRPr="00A019F6">
        <w:rPr>
          <w:shd w:val="clear" w:color="auto" w:fill="FFFFFF"/>
        </w:rPr>
        <w:lastRenderedPageBreak/>
        <w:t>клапана. </w:t>
      </w:r>
      <w:r w:rsidRPr="00DB5883">
        <w:t>Кардиология</w:t>
      </w:r>
      <w:r w:rsidRPr="00A019F6">
        <w:t xml:space="preserve"> </w:t>
      </w:r>
      <w:r w:rsidRPr="00DB5883">
        <w:t>и</w:t>
      </w:r>
      <w:r w:rsidRPr="00A019F6">
        <w:t xml:space="preserve"> </w:t>
      </w:r>
      <w:proofErr w:type="gramStart"/>
      <w:r w:rsidRPr="00DB5883">
        <w:t>сердечно</w:t>
      </w:r>
      <w:r w:rsidRPr="00A019F6">
        <w:t>-</w:t>
      </w:r>
      <w:r w:rsidRPr="00DB5883">
        <w:t>сосудистая</w:t>
      </w:r>
      <w:proofErr w:type="gramEnd"/>
      <w:r w:rsidRPr="00A019F6">
        <w:t xml:space="preserve"> </w:t>
      </w:r>
      <w:r w:rsidRPr="00DB5883">
        <w:t>хирургия</w:t>
      </w:r>
      <w:r w:rsidRPr="00A019F6">
        <w:t xml:space="preserve">. – 2018. – </w:t>
      </w:r>
      <w:r>
        <w:t>Т</w:t>
      </w:r>
      <w:r w:rsidRPr="00A019F6">
        <w:t>. 11(5)</w:t>
      </w:r>
      <w:r>
        <w:t xml:space="preserve">. – С. </w:t>
      </w:r>
      <w:r w:rsidRPr="00A019F6">
        <w:t>47-52.</w:t>
      </w:r>
    </w:p>
    <w:p w:rsidR="00CC2F0B" w:rsidRDefault="00CC2F0B" w:rsidP="00CC2F0B">
      <w:pPr>
        <w:pStyle w:val="a7"/>
        <w:numPr>
          <w:ilvl w:val="0"/>
          <w:numId w:val="6"/>
        </w:numPr>
        <w:rPr>
          <w:lang w:eastAsia="ru-RU"/>
        </w:rPr>
      </w:pPr>
      <w:r w:rsidRPr="00A636EB">
        <w:rPr>
          <w:lang w:eastAsia="ru-RU"/>
        </w:rPr>
        <w:t>Исаева</w:t>
      </w:r>
      <w:r w:rsidRPr="00A019F6">
        <w:rPr>
          <w:lang w:eastAsia="ru-RU"/>
        </w:rPr>
        <w:t xml:space="preserve"> </w:t>
      </w:r>
      <w:r w:rsidRPr="00A636EB">
        <w:rPr>
          <w:lang w:eastAsia="ru-RU"/>
        </w:rPr>
        <w:t>И</w:t>
      </w:r>
      <w:r w:rsidRPr="00A019F6">
        <w:rPr>
          <w:lang w:eastAsia="ru-RU"/>
        </w:rPr>
        <w:t>.</w:t>
      </w:r>
      <w:r w:rsidRPr="00A636EB">
        <w:rPr>
          <w:lang w:eastAsia="ru-RU"/>
        </w:rPr>
        <w:t>В</w:t>
      </w:r>
      <w:r w:rsidRPr="00A019F6">
        <w:rPr>
          <w:lang w:eastAsia="ru-RU"/>
        </w:rPr>
        <w:t xml:space="preserve">., </w:t>
      </w:r>
      <w:r w:rsidRPr="00A636EB">
        <w:rPr>
          <w:lang w:eastAsia="ru-RU"/>
        </w:rPr>
        <w:t>Кова</w:t>
      </w:r>
      <w:r>
        <w:rPr>
          <w:lang w:eastAsia="ru-RU"/>
        </w:rPr>
        <w:t>лёва</w:t>
      </w:r>
      <w:r w:rsidRPr="00A019F6">
        <w:rPr>
          <w:lang w:eastAsia="ru-RU"/>
        </w:rPr>
        <w:t xml:space="preserve"> </w:t>
      </w:r>
      <w:r>
        <w:rPr>
          <w:lang w:eastAsia="ru-RU"/>
        </w:rPr>
        <w:t>Е</w:t>
      </w:r>
      <w:r w:rsidRPr="00A019F6">
        <w:rPr>
          <w:lang w:eastAsia="ru-RU"/>
        </w:rPr>
        <w:t>.</w:t>
      </w:r>
      <w:r>
        <w:rPr>
          <w:lang w:eastAsia="ru-RU"/>
        </w:rPr>
        <w:t>Е</w:t>
      </w:r>
      <w:r w:rsidRPr="00A019F6">
        <w:rPr>
          <w:lang w:eastAsia="ru-RU"/>
        </w:rPr>
        <w:t xml:space="preserve">., </w:t>
      </w:r>
      <w:r>
        <w:rPr>
          <w:lang w:eastAsia="ru-RU"/>
        </w:rPr>
        <w:t>Савелов</w:t>
      </w:r>
      <w:r w:rsidRPr="00A019F6">
        <w:rPr>
          <w:lang w:eastAsia="ru-RU"/>
        </w:rPr>
        <w:t xml:space="preserve"> </w:t>
      </w:r>
      <w:r>
        <w:rPr>
          <w:lang w:eastAsia="ru-RU"/>
        </w:rPr>
        <w:t>Е</w:t>
      </w:r>
      <w:r w:rsidRPr="00A019F6">
        <w:rPr>
          <w:lang w:eastAsia="ru-RU"/>
        </w:rPr>
        <w:t>.</w:t>
      </w:r>
      <w:r>
        <w:rPr>
          <w:lang w:eastAsia="ru-RU"/>
        </w:rPr>
        <w:t>А</w:t>
      </w:r>
      <w:r w:rsidRPr="00A019F6">
        <w:rPr>
          <w:lang w:eastAsia="ru-RU"/>
        </w:rPr>
        <w:t xml:space="preserve">. </w:t>
      </w:r>
      <w:r>
        <w:rPr>
          <w:lang w:eastAsia="ru-RU"/>
        </w:rPr>
        <w:t>и</w:t>
      </w:r>
      <w:r w:rsidRPr="00A019F6">
        <w:rPr>
          <w:lang w:eastAsia="ru-RU"/>
        </w:rPr>
        <w:t xml:space="preserve"> </w:t>
      </w:r>
      <w:r>
        <w:rPr>
          <w:lang w:eastAsia="ru-RU"/>
        </w:rPr>
        <w:t>др</w:t>
      </w:r>
      <w:r w:rsidRPr="00A019F6">
        <w:rPr>
          <w:lang w:eastAsia="ru-RU"/>
        </w:rPr>
        <w:t xml:space="preserve">. </w:t>
      </w:r>
      <w:r w:rsidRPr="00A636EB">
        <w:rPr>
          <w:lang w:eastAsia="ru-RU"/>
        </w:rPr>
        <w:t>Оригинальный минимально инвазивный ретроперитонеальный доступ к подвздошной артерии для транскатетерной имплантац</w:t>
      </w:r>
      <w:proofErr w:type="gramStart"/>
      <w:r w:rsidRPr="00A636EB">
        <w:rPr>
          <w:lang w:eastAsia="ru-RU"/>
        </w:rPr>
        <w:t>ии ао</w:t>
      </w:r>
      <w:proofErr w:type="gramEnd"/>
      <w:r w:rsidRPr="00A636EB">
        <w:rPr>
          <w:lang w:eastAsia="ru-RU"/>
        </w:rPr>
        <w:t xml:space="preserve">ртального клапана. </w:t>
      </w:r>
      <w:r>
        <w:rPr>
          <w:lang w:eastAsia="ru-RU"/>
        </w:rPr>
        <w:t xml:space="preserve">// </w:t>
      </w:r>
      <w:r w:rsidRPr="00A636EB">
        <w:rPr>
          <w:lang w:eastAsia="ru-RU"/>
        </w:rPr>
        <w:t xml:space="preserve">Международный журнал </w:t>
      </w:r>
      <w:proofErr w:type="gramStart"/>
      <w:r w:rsidRPr="00A636EB">
        <w:rPr>
          <w:lang w:eastAsia="ru-RU"/>
        </w:rPr>
        <w:t>интервенционной</w:t>
      </w:r>
      <w:proofErr w:type="gramEnd"/>
      <w:r w:rsidRPr="00A636EB">
        <w:rPr>
          <w:lang w:eastAsia="ru-RU"/>
        </w:rPr>
        <w:t xml:space="preserve"> кардиоангиологии. </w:t>
      </w:r>
      <w:r>
        <w:rPr>
          <w:lang w:eastAsia="ru-RU"/>
        </w:rPr>
        <w:t xml:space="preserve">– </w:t>
      </w:r>
      <w:r w:rsidRPr="00A636EB">
        <w:rPr>
          <w:lang w:eastAsia="ru-RU"/>
        </w:rPr>
        <w:t>2015</w:t>
      </w:r>
      <w:r>
        <w:rPr>
          <w:lang w:eastAsia="ru-RU"/>
        </w:rPr>
        <w:t>. – Т.</w:t>
      </w:r>
      <w:r w:rsidRPr="00A636EB">
        <w:rPr>
          <w:lang w:eastAsia="ru-RU"/>
        </w:rPr>
        <w:t xml:space="preserve"> 40</w:t>
      </w:r>
      <w:r>
        <w:rPr>
          <w:lang w:eastAsia="ru-RU"/>
        </w:rPr>
        <w:t>. – С.</w:t>
      </w:r>
      <w:r w:rsidRPr="00A636EB">
        <w:rPr>
          <w:lang w:eastAsia="ru-RU"/>
        </w:rPr>
        <w:t xml:space="preserve"> 14-20.</w:t>
      </w:r>
    </w:p>
    <w:p w:rsidR="00CC2F0B" w:rsidRPr="00A019F6" w:rsidRDefault="00CC2F0B" w:rsidP="00CC2F0B">
      <w:pPr>
        <w:pStyle w:val="a7"/>
        <w:numPr>
          <w:ilvl w:val="0"/>
          <w:numId w:val="6"/>
        </w:numPr>
      </w:pPr>
      <w:r w:rsidRPr="00A019F6">
        <w:rPr>
          <w:bdr w:val="none" w:sz="0" w:space="0" w:color="auto" w:frame="1"/>
        </w:rPr>
        <w:t xml:space="preserve">Караськов А.М., Астапов Д.А., Железнев С.И., Семенова Е.И. Биологические протезы «кемкор» и «перикор» в атриовентрикулярных позициях сердца // </w:t>
      </w:r>
      <w:hyperlink r:id="rId71" w:history="1">
        <w:r w:rsidRPr="00A019F6">
          <w:rPr>
            <w:lang w:val="en-US"/>
          </w:rPr>
          <w:t>Journal</w:t>
        </w:r>
        <w:r w:rsidRPr="00A019F6">
          <w:t xml:space="preserve"> </w:t>
        </w:r>
        <w:r w:rsidRPr="00A019F6">
          <w:rPr>
            <w:lang w:val="en-US"/>
          </w:rPr>
          <w:t>of</w:t>
        </w:r>
        <w:r w:rsidRPr="00A019F6">
          <w:t xml:space="preserve"> </w:t>
        </w:r>
        <w:r w:rsidRPr="00A019F6">
          <w:rPr>
            <w:lang w:val="en-US"/>
          </w:rPr>
          <w:t>Siberian</w:t>
        </w:r>
        <w:r w:rsidRPr="00A019F6">
          <w:t xml:space="preserve"> </w:t>
        </w:r>
        <w:r w:rsidRPr="00A019F6">
          <w:rPr>
            <w:lang w:val="en-US"/>
          </w:rPr>
          <w:t>Medical</w:t>
        </w:r>
        <w:r w:rsidRPr="00A019F6">
          <w:t xml:space="preserve"> </w:t>
        </w:r>
        <w:r w:rsidRPr="00A019F6">
          <w:rPr>
            <w:lang w:val="en-US"/>
          </w:rPr>
          <w:t>Sciences</w:t>
        </w:r>
      </w:hyperlink>
      <w:r w:rsidRPr="00A019F6">
        <w:t xml:space="preserve">. – 2012. – №2. – </w:t>
      </w:r>
      <w:r>
        <w:t>С</w:t>
      </w:r>
      <w:r w:rsidRPr="00A019F6">
        <w:t>. 11-14</w:t>
      </w:r>
    </w:p>
    <w:p w:rsidR="00CC2F0B" w:rsidRDefault="00CC2F0B" w:rsidP="00CC2F0B">
      <w:pPr>
        <w:pStyle w:val="a7"/>
        <w:numPr>
          <w:ilvl w:val="0"/>
          <w:numId w:val="6"/>
        </w:numPr>
      </w:pPr>
      <w:r>
        <w:t>Карпова Н.Ю.</w:t>
      </w:r>
      <w:r w:rsidRPr="00BC7278">
        <w:t>, </w:t>
      </w:r>
      <w:r>
        <w:t>Рашид М.А.</w:t>
      </w:r>
      <w:r w:rsidRPr="00BC7278">
        <w:t>, </w:t>
      </w:r>
      <w:r>
        <w:t>Казакова Т.В.</w:t>
      </w:r>
      <w:r w:rsidRPr="00BC7278">
        <w:t xml:space="preserve">, Шостак Н.А.  </w:t>
      </w:r>
      <w:r>
        <w:t>Аортальная регургитация // РМЖ. – 2014. – №12. – С. 883-886</w:t>
      </w:r>
    </w:p>
    <w:p w:rsidR="00CC2F0B" w:rsidRDefault="00CC2F0B" w:rsidP="00CC2F0B">
      <w:pPr>
        <w:pStyle w:val="a7"/>
        <w:numPr>
          <w:ilvl w:val="0"/>
          <w:numId w:val="6"/>
        </w:numPr>
      </w:pPr>
      <w:r>
        <w:t>Кудрявцева Ю.А. Б</w:t>
      </w:r>
      <w:r w:rsidRPr="003A00DB">
        <w:t>иологические протезы клапана сердца. От идеи до клинического применения</w:t>
      </w:r>
      <w:r>
        <w:t xml:space="preserve"> // </w:t>
      </w:r>
      <w:hyperlink r:id="rId72" w:history="1">
        <w:r w:rsidRPr="003A00DB">
          <w:t xml:space="preserve">Комплексные проблемы </w:t>
        </w:r>
        <w:proofErr w:type="gramStart"/>
        <w:r w:rsidRPr="003A00DB">
          <w:t>сердечно-сосудистых</w:t>
        </w:r>
        <w:proofErr w:type="gramEnd"/>
        <w:r w:rsidRPr="003A00DB">
          <w:t xml:space="preserve"> заболеваний</w:t>
        </w:r>
      </w:hyperlink>
      <w:r>
        <w:t>. – 2015. – №4. – С. 6-16</w:t>
      </w:r>
    </w:p>
    <w:p w:rsidR="00CC2F0B" w:rsidRDefault="00CC2F0B" w:rsidP="00CC2F0B">
      <w:pPr>
        <w:pStyle w:val="a7"/>
        <w:numPr>
          <w:ilvl w:val="0"/>
          <w:numId w:val="6"/>
        </w:numPr>
      </w:pPr>
      <w:r w:rsidRPr="00317E20">
        <w:t>Марголина</w:t>
      </w:r>
      <w:r w:rsidRPr="00A019F6">
        <w:t xml:space="preserve"> </w:t>
      </w:r>
      <w:r w:rsidRPr="00317E20">
        <w:t>А</w:t>
      </w:r>
      <w:r w:rsidRPr="00A019F6">
        <w:t>.</w:t>
      </w:r>
      <w:r w:rsidRPr="00317E20">
        <w:t>А</w:t>
      </w:r>
      <w:r w:rsidRPr="00A019F6">
        <w:t xml:space="preserve">., </w:t>
      </w:r>
      <w:r w:rsidRPr="00317E20">
        <w:t>Груздев</w:t>
      </w:r>
      <w:r w:rsidRPr="00A019F6">
        <w:t xml:space="preserve"> </w:t>
      </w:r>
      <w:r w:rsidRPr="00317E20">
        <w:t>К</w:t>
      </w:r>
      <w:r w:rsidRPr="00A019F6">
        <w:t>.</w:t>
      </w:r>
      <w:r w:rsidRPr="00317E20">
        <w:t>А</w:t>
      </w:r>
      <w:r w:rsidRPr="00A019F6">
        <w:t xml:space="preserve">., </w:t>
      </w:r>
      <w:r w:rsidRPr="00317E20">
        <w:t>Лепилин</w:t>
      </w:r>
      <w:r w:rsidRPr="00A019F6">
        <w:t xml:space="preserve"> </w:t>
      </w:r>
      <w:r w:rsidRPr="00317E20">
        <w:t>М</w:t>
      </w:r>
      <w:r w:rsidRPr="00A019F6">
        <w:t>.</w:t>
      </w:r>
      <w:r w:rsidRPr="00317E20">
        <w:t>Г</w:t>
      </w:r>
      <w:r w:rsidRPr="00A019F6">
        <w:t xml:space="preserve">. и др. </w:t>
      </w:r>
      <w:hyperlink r:id="rId73" w:history="1">
        <w:r w:rsidRPr="00317E20">
          <w:t>Осложнения</w:t>
        </w:r>
        <w:r w:rsidRPr="00D7052F">
          <w:t xml:space="preserve"> </w:t>
        </w:r>
        <w:r w:rsidRPr="00317E20">
          <w:t>транскатетерного</w:t>
        </w:r>
        <w:r w:rsidRPr="00D7052F">
          <w:t xml:space="preserve"> </w:t>
        </w:r>
        <w:r w:rsidRPr="00317E20">
          <w:t>протезирования</w:t>
        </w:r>
        <w:r w:rsidRPr="00D7052F">
          <w:t xml:space="preserve"> </w:t>
        </w:r>
        <w:r w:rsidRPr="00317E20">
          <w:t>аортального</w:t>
        </w:r>
        <w:r w:rsidRPr="00D7052F">
          <w:t xml:space="preserve"> </w:t>
        </w:r>
        <w:r w:rsidRPr="00317E20">
          <w:t>клапана</w:t>
        </w:r>
      </w:hyperlink>
      <w:r w:rsidRPr="00D7052F">
        <w:t xml:space="preserve"> </w:t>
      </w:r>
      <w:r>
        <w:t xml:space="preserve">// </w:t>
      </w:r>
      <w:hyperlink r:id="rId74" w:history="1">
        <w:r w:rsidRPr="00317E20">
          <w:t>Кардиология</w:t>
        </w:r>
      </w:hyperlink>
      <w:r w:rsidRPr="00D7052F">
        <w:t xml:space="preserve">. </w:t>
      </w:r>
      <w:r>
        <w:t xml:space="preserve">– </w:t>
      </w:r>
      <w:r w:rsidRPr="00317E20">
        <w:t xml:space="preserve">2016. </w:t>
      </w:r>
      <w:r>
        <w:t xml:space="preserve">– </w:t>
      </w:r>
      <w:r w:rsidRPr="00317E20">
        <w:t>Т. 56</w:t>
      </w:r>
      <w:r>
        <w:t>,</w:t>
      </w:r>
      <w:r w:rsidRPr="00317E20">
        <w:t> </w:t>
      </w:r>
      <w:hyperlink r:id="rId75" w:history="1">
        <w:r>
          <w:t>№</w:t>
        </w:r>
        <w:r w:rsidRPr="00317E20">
          <w:t>2</w:t>
        </w:r>
      </w:hyperlink>
      <w:r w:rsidRPr="00317E20">
        <w:t xml:space="preserve">. </w:t>
      </w:r>
      <w:r>
        <w:t xml:space="preserve">– </w:t>
      </w:r>
      <w:r w:rsidRPr="00317E20">
        <w:t>С. 35-39.</w:t>
      </w:r>
    </w:p>
    <w:p w:rsidR="00CC2F0B" w:rsidRPr="00A019F6" w:rsidRDefault="00CC2F0B" w:rsidP="00CC2F0B">
      <w:pPr>
        <w:pStyle w:val="a7"/>
        <w:numPr>
          <w:ilvl w:val="0"/>
          <w:numId w:val="6"/>
        </w:numPr>
      </w:pPr>
      <w:r>
        <w:t>Протопопов</w:t>
      </w:r>
      <w:r w:rsidRPr="007519F9">
        <w:t xml:space="preserve"> </w:t>
      </w:r>
      <w:r>
        <w:t>А.В., Кочкина</w:t>
      </w:r>
      <w:r w:rsidRPr="007519F9">
        <w:t xml:space="preserve"> </w:t>
      </w:r>
      <w:r>
        <w:t>К.В., Маштакова</w:t>
      </w:r>
      <w:r w:rsidRPr="007519F9">
        <w:t xml:space="preserve"> </w:t>
      </w:r>
      <w:r>
        <w:t xml:space="preserve">О.Б. и др. Расширение показаний к эндоваскулярной имплантации аортального клапана </w:t>
      </w:r>
      <w:proofErr w:type="gramStart"/>
      <w:r>
        <w:t>С</w:t>
      </w:r>
      <w:proofErr w:type="gramEnd"/>
      <w:r>
        <w:t xml:space="preserve">orevalve в клинической практике  // </w:t>
      </w:r>
      <w:hyperlink r:id="rId76" w:history="1">
        <w:r w:rsidRPr="007519F9">
          <w:t>Эндоваскулярная хирургия</w:t>
        </w:r>
      </w:hyperlink>
      <w:r w:rsidRPr="007519F9">
        <w:t xml:space="preserve">. </w:t>
      </w:r>
      <w:r>
        <w:t xml:space="preserve">– </w:t>
      </w:r>
      <w:r w:rsidRPr="00A019F6">
        <w:t xml:space="preserve">2014. </w:t>
      </w:r>
      <w:r>
        <w:t xml:space="preserve">– </w:t>
      </w:r>
      <w:r w:rsidRPr="007519F9">
        <w:t>Т</w:t>
      </w:r>
      <w:r w:rsidRPr="00A019F6">
        <w:t>. 1</w:t>
      </w:r>
      <w:r>
        <w:t>,</w:t>
      </w:r>
      <w:r w:rsidRPr="00A019F6">
        <w:rPr>
          <w:lang w:val="en-US"/>
        </w:rPr>
        <w:t> </w:t>
      </w:r>
      <w:hyperlink r:id="rId77" w:history="1">
        <w:r w:rsidRPr="00A019F6">
          <w:t>№1</w:t>
        </w:r>
      </w:hyperlink>
      <w:r w:rsidRPr="00A019F6">
        <w:t xml:space="preserve">. </w:t>
      </w:r>
      <w:r>
        <w:t xml:space="preserve">– </w:t>
      </w:r>
      <w:r w:rsidRPr="007519F9">
        <w:t>С</w:t>
      </w:r>
      <w:r w:rsidRPr="00A019F6">
        <w:t>. 44-49.</w:t>
      </w:r>
    </w:p>
    <w:p w:rsidR="00CC2F0B" w:rsidRDefault="00CC2F0B" w:rsidP="00CC2F0B">
      <w:pPr>
        <w:pStyle w:val="a7"/>
        <w:numPr>
          <w:ilvl w:val="0"/>
          <w:numId w:val="6"/>
        </w:numPr>
      </w:pPr>
      <w:r>
        <w:t xml:space="preserve">Рекомендации </w:t>
      </w:r>
      <w:r w:rsidRPr="00A019F6">
        <w:rPr>
          <w:lang w:val="en-US"/>
        </w:rPr>
        <w:t>ESC</w:t>
      </w:r>
      <w:r>
        <w:t>/</w:t>
      </w:r>
      <w:r w:rsidRPr="00A019F6">
        <w:rPr>
          <w:lang w:val="en-US"/>
        </w:rPr>
        <w:t>EACTS</w:t>
      </w:r>
      <w:r>
        <w:t xml:space="preserve"> 2017 по лечению клапанной болезни сердца / Рабочая группа по ведению пациентов с клапанной болезнью сердца Европейского общества кардиологов (ЕОК, ESC) и Европейской ассоциации кардио-торакальной хирургии (EACTS) // Российский кардиологический журнал. –  2018. – Т. 23 (7). – С. 103-155</w:t>
      </w:r>
    </w:p>
    <w:p w:rsidR="00CC2F0B" w:rsidRDefault="00CC2F0B" w:rsidP="00CC2F0B">
      <w:pPr>
        <w:pStyle w:val="a7"/>
        <w:numPr>
          <w:ilvl w:val="0"/>
          <w:numId w:val="6"/>
        </w:numPr>
      </w:pPr>
      <w:r w:rsidRPr="003A00DB">
        <w:t xml:space="preserve">Рогулина Н. В., Одаренко Ю. Н., Журавлева И. Ю., Барбараш Л. С. Отдаленные результаты применения механических и биологических </w:t>
      </w:r>
      <w:r w:rsidRPr="003A00DB">
        <w:lastRenderedPageBreak/>
        <w:t xml:space="preserve">протезов у пациентов различных возрастов. </w:t>
      </w:r>
      <w:r>
        <w:t xml:space="preserve">// </w:t>
      </w:r>
      <w:r w:rsidRPr="003A00DB">
        <w:t xml:space="preserve">Медицина и образование в Сибири. </w:t>
      </w:r>
      <w:r>
        <w:t xml:space="preserve">– </w:t>
      </w:r>
      <w:r w:rsidRPr="003A00DB">
        <w:t>2014</w:t>
      </w:r>
      <w:r>
        <w:t>. – Т.</w:t>
      </w:r>
      <w:r w:rsidRPr="003A00DB">
        <w:t xml:space="preserve"> 3. </w:t>
      </w:r>
      <w:r>
        <w:t>– С. 10-14</w:t>
      </w:r>
    </w:p>
    <w:p w:rsidR="00CC2F0B" w:rsidRPr="00A019F6" w:rsidRDefault="00CC2F0B" w:rsidP="00CC2F0B">
      <w:pPr>
        <w:pStyle w:val="a7"/>
        <w:numPr>
          <w:ilvl w:val="0"/>
          <w:numId w:val="6"/>
        </w:numPr>
        <w:tabs>
          <w:tab w:val="left" w:pos="975"/>
        </w:tabs>
        <w:rPr>
          <w:lang w:val="en-US"/>
        </w:rPr>
      </w:pPr>
      <w:r>
        <w:t xml:space="preserve">Руководство по кардиологии в четырех томах. / Том 4: Заболевания </w:t>
      </w:r>
      <w:proofErr w:type="gramStart"/>
      <w:r>
        <w:t>сердечно-сосудистой</w:t>
      </w:r>
      <w:proofErr w:type="gramEnd"/>
      <w:r>
        <w:t xml:space="preserve"> системы (II) / Под ред. Акад</w:t>
      </w:r>
      <w:r w:rsidRPr="00A019F6">
        <w:rPr>
          <w:lang w:val="en-US"/>
        </w:rPr>
        <w:t xml:space="preserve">. </w:t>
      </w:r>
      <w:r>
        <w:t>Е</w:t>
      </w:r>
      <w:r w:rsidRPr="00A019F6">
        <w:rPr>
          <w:lang w:val="en-US"/>
        </w:rPr>
        <w:t>.</w:t>
      </w:r>
      <w:r>
        <w:t>И</w:t>
      </w:r>
      <w:r w:rsidRPr="00A019F6">
        <w:rPr>
          <w:lang w:val="en-US"/>
        </w:rPr>
        <w:t xml:space="preserve">. </w:t>
      </w:r>
      <w:r>
        <w:t>Чазова</w:t>
      </w:r>
      <w:r w:rsidRPr="00A019F6">
        <w:rPr>
          <w:lang w:val="en-US"/>
        </w:rPr>
        <w:t xml:space="preserve">. - </w:t>
      </w:r>
      <w:r>
        <w:t>М</w:t>
      </w:r>
      <w:r w:rsidRPr="00A019F6">
        <w:rPr>
          <w:lang w:val="en-US"/>
        </w:rPr>
        <w:t xml:space="preserve">.: </w:t>
      </w:r>
      <w:r>
        <w:t>Практика</w:t>
      </w:r>
      <w:r w:rsidRPr="00A019F6">
        <w:rPr>
          <w:lang w:val="en-US"/>
        </w:rPr>
        <w:t xml:space="preserve">, 2014. - </w:t>
      </w:r>
      <w:r>
        <w:t>с</w:t>
      </w:r>
      <w:r w:rsidRPr="00A019F6">
        <w:rPr>
          <w:lang w:val="en-US"/>
        </w:rPr>
        <w:t>.304-305</w:t>
      </w:r>
    </w:p>
    <w:p w:rsidR="00CC2F0B" w:rsidRDefault="00CC2F0B" w:rsidP="00CC2F0B">
      <w:pPr>
        <w:pStyle w:val="a7"/>
        <w:numPr>
          <w:ilvl w:val="0"/>
          <w:numId w:val="6"/>
        </w:numPr>
      </w:pPr>
      <w:r w:rsidRPr="00027DBA">
        <w:t xml:space="preserve">Силаева Н.В., Слюсаренко А.А. </w:t>
      </w:r>
      <w:hyperlink r:id="rId78" w:history="1">
        <w:r w:rsidRPr="00027DBA">
          <w:t>Состояние проблемы транскатетерной имплантац</w:t>
        </w:r>
        <w:proofErr w:type="gramStart"/>
        <w:r w:rsidRPr="00027DBA">
          <w:t>ии ао</w:t>
        </w:r>
        <w:proofErr w:type="gramEnd"/>
        <w:r w:rsidRPr="00027DBA">
          <w:t>ртального клапана</w:t>
        </w:r>
      </w:hyperlink>
      <w:r>
        <w:t xml:space="preserve"> // </w:t>
      </w:r>
      <w:hyperlink r:id="rId79" w:history="1">
        <w:r w:rsidRPr="00027DBA">
          <w:t>Актуальная медицина</w:t>
        </w:r>
      </w:hyperlink>
      <w:r>
        <w:t>:</w:t>
      </w:r>
      <w:r w:rsidRPr="00027DBA">
        <w:t xml:space="preserve"> материалы I Студенческой научно-теоретической конференции, посвященной 120-летию со дня рождения С. И. Георгиевского. </w:t>
      </w:r>
      <w:r>
        <w:t xml:space="preserve">– </w:t>
      </w:r>
      <w:r w:rsidRPr="00027DBA">
        <w:t xml:space="preserve">Симферополь, 2018. </w:t>
      </w:r>
      <w:r>
        <w:t xml:space="preserve">– </w:t>
      </w:r>
      <w:r w:rsidRPr="00027DBA">
        <w:t>С. 699-703.</w:t>
      </w:r>
    </w:p>
    <w:p w:rsidR="00CC2F0B" w:rsidRDefault="00CC2F0B" w:rsidP="00CC2F0B">
      <w:pPr>
        <w:pStyle w:val="a7"/>
        <w:numPr>
          <w:ilvl w:val="0"/>
          <w:numId w:val="6"/>
        </w:numPr>
        <w:tabs>
          <w:tab w:val="left" w:pos="975"/>
        </w:tabs>
      </w:pPr>
      <w:r>
        <w:t xml:space="preserve">Стасев А.Н., Одаренко Ю.Н., Рутковская Н.В. и др. </w:t>
      </w:r>
      <w:r w:rsidRPr="00DB5883">
        <w:t xml:space="preserve">Сравнительная характеристика ближайших </w:t>
      </w:r>
      <w:r>
        <w:t>результатов применения ксеноаор</w:t>
      </w:r>
      <w:r w:rsidRPr="00DB5883">
        <w:t xml:space="preserve">тальных и ксеноперикардиальных эпоксиобработанных биопротезов в митральной позиции. Комплексные проблемы </w:t>
      </w:r>
      <w:proofErr w:type="gramStart"/>
      <w:r w:rsidRPr="00DB5883">
        <w:t>сердечно-сосудистых</w:t>
      </w:r>
      <w:proofErr w:type="gramEnd"/>
      <w:r w:rsidRPr="00DB5883">
        <w:t xml:space="preserve"> заболеваний.</w:t>
      </w:r>
      <w:r>
        <w:t xml:space="preserve"> – </w:t>
      </w:r>
      <w:r w:rsidRPr="00DB5883">
        <w:t xml:space="preserve"> 2013</w:t>
      </w:r>
      <w:r>
        <w:t>. – Т.</w:t>
      </w:r>
      <w:r w:rsidRPr="00DB5883">
        <w:t xml:space="preserve"> 4</w:t>
      </w:r>
      <w:r>
        <w:t>. – С. 12-16 </w:t>
      </w:r>
    </w:p>
    <w:p w:rsidR="00CC2F0B" w:rsidRDefault="00CC2F0B" w:rsidP="00CC2F0B">
      <w:pPr>
        <w:pStyle w:val="a7"/>
        <w:numPr>
          <w:ilvl w:val="0"/>
          <w:numId w:val="6"/>
        </w:numPr>
      </w:pPr>
      <w:r>
        <w:t>Тарасов Р.С., Ганюков В.И. Исходы транскатетерной имплантац</w:t>
      </w:r>
      <w:proofErr w:type="gramStart"/>
      <w:r>
        <w:t>ии ао</w:t>
      </w:r>
      <w:proofErr w:type="gramEnd"/>
      <w:r>
        <w:t xml:space="preserve">ртального клапана: динамика клинического статуса и ремоделирования сердца // </w:t>
      </w:r>
      <w:hyperlink r:id="rId80" w:history="1">
        <w:r w:rsidRPr="007519F9">
          <w:t>Эндоваскулярная хирургия</w:t>
        </w:r>
      </w:hyperlink>
      <w:r w:rsidRPr="007519F9">
        <w:t xml:space="preserve">. </w:t>
      </w:r>
      <w:r>
        <w:t xml:space="preserve">– </w:t>
      </w:r>
      <w:r w:rsidRPr="007519F9">
        <w:t xml:space="preserve">2017. </w:t>
      </w:r>
      <w:r>
        <w:t xml:space="preserve">– </w:t>
      </w:r>
      <w:r w:rsidRPr="007519F9">
        <w:t>Т. 4</w:t>
      </w:r>
      <w:r>
        <w:t>,</w:t>
      </w:r>
      <w:r w:rsidRPr="007519F9">
        <w:t> </w:t>
      </w:r>
      <w:hyperlink r:id="rId81" w:history="1">
        <w:r>
          <w:t>№</w:t>
        </w:r>
        <w:r w:rsidRPr="007519F9">
          <w:t>3</w:t>
        </w:r>
      </w:hyperlink>
      <w:r w:rsidRPr="007519F9">
        <w:t xml:space="preserve">. </w:t>
      </w:r>
      <w:r>
        <w:t xml:space="preserve">– </w:t>
      </w:r>
      <w:r w:rsidRPr="007519F9">
        <w:t>С. 203-212.</w:t>
      </w:r>
    </w:p>
    <w:p w:rsidR="00CC2F0B" w:rsidRDefault="00CC2F0B" w:rsidP="00CC2F0B">
      <w:pPr>
        <w:pStyle w:val="a7"/>
        <w:numPr>
          <w:ilvl w:val="0"/>
          <w:numId w:val="6"/>
        </w:numPr>
      </w:pPr>
      <w:r>
        <w:t>Фадеев</w:t>
      </w:r>
      <w:r w:rsidRPr="002E5497">
        <w:t xml:space="preserve"> </w:t>
      </w:r>
      <w:r>
        <w:t>А.А. Конструктивные формы и функциональные свойства протезов клапанов сердца // А</w:t>
      </w:r>
      <w:r w:rsidRPr="002E5497">
        <w:t>нналы хирургии</w:t>
      </w:r>
      <w:r>
        <w:t>. – 2013. –  №</w:t>
      </w:r>
      <w:r w:rsidRPr="002E5497">
        <w:t>3</w:t>
      </w:r>
      <w:r>
        <w:t>. – С. 8-14</w:t>
      </w:r>
      <w:r w:rsidRPr="002E5497">
        <w:t xml:space="preserve"> </w:t>
      </w:r>
    </w:p>
    <w:p w:rsidR="00CC2F0B" w:rsidRPr="00A019F6" w:rsidRDefault="00CC2F0B" w:rsidP="00CC2F0B">
      <w:pPr>
        <w:pStyle w:val="a7"/>
        <w:numPr>
          <w:ilvl w:val="0"/>
          <w:numId w:val="6"/>
        </w:numPr>
        <w:rPr>
          <w:lang w:val="en-US"/>
        </w:rPr>
      </w:pPr>
      <w:r w:rsidRPr="00A019F6">
        <w:rPr>
          <w:lang w:val="en-US"/>
        </w:rPr>
        <w:t xml:space="preserve">2014 AHA/ACC Guideline for the Management of Patients </w:t>
      </w:r>
      <w:proofErr w:type="gramStart"/>
      <w:r w:rsidRPr="00A019F6">
        <w:rPr>
          <w:lang w:val="en-US"/>
        </w:rPr>
        <w:t>With</w:t>
      </w:r>
      <w:proofErr w:type="gramEnd"/>
      <w:r w:rsidRPr="00A019F6">
        <w:rPr>
          <w:lang w:val="en-US"/>
        </w:rPr>
        <w:t xml:space="preserve"> Valvular Heart Disease: A Report of the American College of Cardiology/American Heart Association Task Force on Practice Guidelines // J Am Coll Cardiol. – 2014. – Vol.  63 (22). –  e57–e185</w:t>
      </w:r>
    </w:p>
    <w:p w:rsidR="00CC2F0B" w:rsidRPr="00A019F6" w:rsidRDefault="00CC2F0B" w:rsidP="00CC2F0B">
      <w:pPr>
        <w:pStyle w:val="a7"/>
        <w:numPr>
          <w:ilvl w:val="0"/>
          <w:numId w:val="6"/>
        </w:numPr>
        <w:rPr>
          <w:lang w:val="en-US"/>
        </w:rPr>
      </w:pPr>
      <w:r w:rsidRPr="00A019F6">
        <w:rPr>
          <w:lang w:val="en-US"/>
        </w:rPr>
        <w:t>Adams D.H., Popma J.J., Reardon M.J. et al. Transcatheter aortic-valve replacement with a self-expanding prosthesis./</w:t>
      </w:r>
      <w:proofErr w:type="gramStart"/>
      <w:r w:rsidRPr="00A019F6">
        <w:rPr>
          <w:lang w:val="en-US"/>
        </w:rPr>
        <w:t>/  N</w:t>
      </w:r>
      <w:proofErr w:type="gramEnd"/>
      <w:r w:rsidRPr="00A019F6">
        <w:rPr>
          <w:lang w:val="en-US"/>
        </w:rPr>
        <w:t xml:space="preserve">. Engl. J. Med. – 2014. – Vol.   370 (19). – </w:t>
      </w:r>
      <w:r>
        <w:t>Р</w:t>
      </w:r>
      <w:r w:rsidRPr="00A019F6">
        <w:rPr>
          <w:lang w:val="en-US"/>
        </w:rPr>
        <w:t>. 1790–8.</w:t>
      </w:r>
    </w:p>
    <w:p w:rsidR="00CC2F0B" w:rsidRPr="00A019F6" w:rsidRDefault="00CC2F0B" w:rsidP="00CC2F0B">
      <w:pPr>
        <w:pStyle w:val="a7"/>
        <w:numPr>
          <w:ilvl w:val="0"/>
          <w:numId w:val="6"/>
        </w:numPr>
        <w:rPr>
          <w:lang w:val="en-US"/>
        </w:rPr>
      </w:pPr>
      <w:r w:rsidRPr="00A019F6">
        <w:rPr>
          <w:lang w:val="en-US"/>
        </w:rPr>
        <w:t>Aicher D., Fries R., Rodionycheva S.  </w:t>
      </w:r>
      <w:proofErr w:type="gramStart"/>
      <w:r w:rsidRPr="00A019F6">
        <w:rPr>
          <w:lang w:val="en-US"/>
        </w:rPr>
        <w:t>et</w:t>
      </w:r>
      <w:proofErr w:type="gramEnd"/>
      <w:r w:rsidRPr="00A019F6">
        <w:rPr>
          <w:lang w:val="en-US"/>
        </w:rPr>
        <w:t xml:space="preserve"> al</w:t>
      </w:r>
      <w:r w:rsidRPr="00A019F6">
        <w:rPr>
          <w:shd w:val="clear" w:color="auto" w:fill="FFFFFF"/>
          <w:lang w:val="en-US"/>
        </w:rPr>
        <w:t>.</w:t>
      </w:r>
      <w:r w:rsidRPr="00A019F6">
        <w:rPr>
          <w:lang w:val="en-US"/>
        </w:rPr>
        <w:t xml:space="preserve"> Aortic valve repair leads to a low incidence of valve-related complications. // Eur J Cardiothorac Surg. – 2010. – Vol.  37. – </w:t>
      </w:r>
      <w:r>
        <w:t>Р</w:t>
      </w:r>
      <w:r w:rsidRPr="00A019F6">
        <w:rPr>
          <w:lang w:val="en-US"/>
        </w:rPr>
        <w:t>. 127– 132</w:t>
      </w:r>
    </w:p>
    <w:p w:rsidR="00CC2F0B" w:rsidRPr="00A019F6" w:rsidRDefault="00CC2F0B" w:rsidP="00CC2F0B">
      <w:pPr>
        <w:pStyle w:val="a7"/>
        <w:numPr>
          <w:ilvl w:val="0"/>
          <w:numId w:val="6"/>
        </w:numPr>
        <w:rPr>
          <w:lang w:val="en-US"/>
        </w:rPr>
      </w:pPr>
      <w:r w:rsidRPr="00A019F6">
        <w:rPr>
          <w:lang w:val="en-US"/>
        </w:rPr>
        <w:lastRenderedPageBreak/>
        <w:t xml:space="preserve">Al-Attar N., Raffoul R., Himbert D. et al. False aneurysm after transapical aortic valve implantation. // J Thorac Cardiovasc Surg. </w:t>
      </w:r>
      <w:proofErr w:type="gramStart"/>
      <w:r w:rsidRPr="00A019F6">
        <w:rPr>
          <w:lang w:val="en-US"/>
        </w:rPr>
        <w:t>–  2009</w:t>
      </w:r>
      <w:proofErr w:type="gramEnd"/>
      <w:r w:rsidRPr="00A019F6">
        <w:rPr>
          <w:lang w:val="en-US"/>
        </w:rPr>
        <w:t xml:space="preserve">. – Vol. 137. – </w:t>
      </w:r>
      <w:r>
        <w:t>Р</w:t>
      </w:r>
      <w:r w:rsidRPr="00A019F6">
        <w:rPr>
          <w:lang w:val="en-US"/>
        </w:rPr>
        <w:t>. e21–22</w:t>
      </w:r>
    </w:p>
    <w:p w:rsidR="00CC2F0B" w:rsidRPr="00A019F6" w:rsidRDefault="00CC2F0B" w:rsidP="00CC2F0B">
      <w:pPr>
        <w:pStyle w:val="a7"/>
        <w:numPr>
          <w:ilvl w:val="0"/>
          <w:numId w:val="6"/>
        </w:numPr>
        <w:rPr>
          <w:lang w:val="en-US"/>
        </w:rPr>
      </w:pPr>
      <w:r w:rsidRPr="00A019F6">
        <w:rPr>
          <w:lang w:val="en-US"/>
        </w:rPr>
        <w:t xml:space="preserve">Allareddy V., Ward M.M., Ely J.W. et al. Impact of complications on outcomes following aortic and mitral valve replacements in the United States // J Cardiovasc Surg (Torino). – 2007. – Vol. 48 (3). – </w:t>
      </w:r>
      <w:r>
        <w:t>Р</w:t>
      </w:r>
      <w:r w:rsidRPr="00A019F6">
        <w:rPr>
          <w:lang w:val="en-US"/>
        </w:rPr>
        <w:t>. 349-57. </w:t>
      </w:r>
    </w:p>
    <w:p w:rsidR="00CC2F0B" w:rsidRPr="00A019F6" w:rsidRDefault="00CC2F0B" w:rsidP="00CC2F0B">
      <w:pPr>
        <w:pStyle w:val="a7"/>
        <w:numPr>
          <w:ilvl w:val="0"/>
          <w:numId w:val="6"/>
        </w:numPr>
        <w:rPr>
          <w:lang w:val="en-US"/>
        </w:rPr>
      </w:pPr>
      <w:r w:rsidRPr="00A019F6">
        <w:rPr>
          <w:lang w:val="en-US"/>
        </w:rPr>
        <w:t xml:space="preserve">Ando T, Takagi H, Grines CL. Transfemoral, transapical and transcatheter aortic valve implantation and surgical aortic valve replacement: a meta-analysis of direct and adjusted indirect comparisons of early and mid-term deaths. // Interact Cardiovasc Thorac Surg. – 2017. – Vol.  25. – </w:t>
      </w:r>
      <w:r>
        <w:t>Р</w:t>
      </w:r>
      <w:r w:rsidRPr="00A019F6">
        <w:rPr>
          <w:lang w:val="en-US"/>
        </w:rPr>
        <w:t>. 484-92</w:t>
      </w:r>
    </w:p>
    <w:p w:rsidR="00CC2F0B" w:rsidRPr="00A019F6" w:rsidRDefault="00CC2F0B" w:rsidP="00CC2F0B">
      <w:pPr>
        <w:pStyle w:val="a7"/>
        <w:numPr>
          <w:ilvl w:val="0"/>
          <w:numId w:val="6"/>
        </w:numPr>
        <w:rPr>
          <w:lang w:val="en-US"/>
        </w:rPr>
      </w:pPr>
      <w:r w:rsidRPr="00A019F6">
        <w:rPr>
          <w:lang w:val="en-US"/>
        </w:rPr>
        <w:t>Arabkhani B., Mookhoek A., </w:t>
      </w:r>
      <w:proofErr w:type="gramStart"/>
      <w:r w:rsidRPr="00A019F6">
        <w:rPr>
          <w:lang w:val="en-US"/>
        </w:rPr>
        <w:t>Di</w:t>
      </w:r>
      <w:proofErr w:type="gramEnd"/>
      <w:r w:rsidRPr="00A019F6">
        <w:rPr>
          <w:lang w:val="en-US"/>
        </w:rPr>
        <w:t xml:space="preserve"> Centa I. et al</w:t>
      </w:r>
      <w:r w:rsidRPr="00A019F6">
        <w:rPr>
          <w:shd w:val="clear" w:color="auto" w:fill="FFFFFF"/>
          <w:lang w:val="en-US"/>
        </w:rPr>
        <w:t>.</w:t>
      </w:r>
      <w:r w:rsidRPr="00A019F6">
        <w:rPr>
          <w:lang w:val="en-US"/>
        </w:rPr>
        <w:t xml:space="preserve"> Reported outcome after valve-sparing aortic root replacement for aortic root aneurysm: a systematic review and meta-analysis. // Ann Thorac Surg. – 2015. – Vol.  100. – </w:t>
      </w:r>
      <w:r>
        <w:t>Р</w:t>
      </w:r>
      <w:r w:rsidRPr="00A019F6">
        <w:rPr>
          <w:lang w:val="en-US"/>
        </w:rPr>
        <w:t>. 1126–1131.</w:t>
      </w:r>
    </w:p>
    <w:p w:rsidR="00CC2F0B" w:rsidRPr="00A019F6" w:rsidRDefault="00CC2F0B" w:rsidP="00CC2F0B">
      <w:pPr>
        <w:pStyle w:val="a7"/>
        <w:numPr>
          <w:ilvl w:val="0"/>
          <w:numId w:val="6"/>
        </w:numPr>
        <w:rPr>
          <w:lang w:val="en-US"/>
        </w:rPr>
      </w:pPr>
      <w:r w:rsidRPr="00A019F6">
        <w:rPr>
          <w:lang w:val="en-US"/>
        </w:rPr>
        <w:t xml:space="preserve">Bapat V., Thomas M., Hancock J., Wilson K. First successful trans-catheter aortic valve implantation through ascending aorta using Edwards SAPIEN THV system. // Eur J Cardiothoracic Surg. </w:t>
      </w:r>
      <w:proofErr w:type="gramStart"/>
      <w:r w:rsidRPr="00A019F6">
        <w:rPr>
          <w:lang w:val="en-US"/>
        </w:rPr>
        <w:t>–  2010</w:t>
      </w:r>
      <w:proofErr w:type="gramEnd"/>
      <w:r w:rsidRPr="00A019F6">
        <w:rPr>
          <w:lang w:val="en-US"/>
        </w:rPr>
        <w:t xml:space="preserve">. – Vol. 38. – </w:t>
      </w:r>
      <w:r>
        <w:t>Р</w:t>
      </w:r>
      <w:r w:rsidRPr="00A019F6">
        <w:rPr>
          <w:lang w:val="en-US"/>
        </w:rPr>
        <w:t>. 811–813</w:t>
      </w:r>
    </w:p>
    <w:p w:rsidR="00CC2F0B" w:rsidRPr="00A019F6" w:rsidRDefault="00CC2F0B" w:rsidP="00CC2F0B">
      <w:pPr>
        <w:pStyle w:val="a7"/>
        <w:numPr>
          <w:ilvl w:val="0"/>
          <w:numId w:val="6"/>
        </w:numPr>
        <w:rPr>
          <w:lang w:val="en-US"/>
        </w:rPr>
      </w:pPr>
      <w:r w:rsidRPr="00A019F6">
        <w:rPr>
          <w:lang w:val="en-US"/>
        </w:rPr>
        <w:t xml:space="preserve">Barbanti M, Ye J, Pasupati S. The Helio transcatheter aortic dock for patients with aortic regurgitation. // Eurointervention. </w:t>
      </w:r>
      <w:proofErr w:type="gramStart"/>
      <w:r w:rsidRPr="00A019F6">
        <w:rPr>
          <w:lang w:val="en-US"/>
        </w:rPr>
        <w:t>–  2013</w:t>
      </w:r>
      <w:proofErr w:type="gramEnd"/>
      <w:r w:rsidRPr="00A019F6">
        <w:rPr>
          <w:lang w:val="en-US"/>
        </w:rPr>
        <w:t>. – Vol.  9. – s91-94.</w:t>
      </w:r>
    </w:p>
    <w:p w:rsidR="00CC2F0B" w:rsidRPr="00A019F6" w:rsidRDefault="00CC2F0B" w:rsidP="00CC2F0B">
      <w:pPr>
        <w:pStyle w:val="a7"/>
        <w:numPr>
          <w:ilvl w:val="0"/>
          <w:numId w:val="6"/>
        </w:numPr>
        <w:rPr>
          <w:lang w:val="en-US" w:eastAsia="ru-RU"/>
        </w:rPr>
      </w:pPr>
      <w:r w:rsidRPr="00A019F6">
        <w:rPr>
          <w:lang w:val="en-US" w:eastAsia="ru-RU"/>
        </w:rPr>
        <w:t xml:space="preserve">Bax J.J., Delgado V., Bapat V. et al. Open issues in transcatheter aortic valve implantation. Part 2: procedural issues and outcomes after transcatheter aortic valve implantation. // Eur. Heart J. – 2014. </w:t>
      </w:r>
      <w:r w:rsidRPr="00A019F6">
        <w:rPr>
          <w:lang w:val="en-US"/>
        </w:rPr>
        <w:t xml:space="preserve">– Vol. </w:t>
      </w:r>
      <w:r w:rsidRPr="00A019F6">
        <w:rPr>
          <w:lang w:val="en-US" w:eastAsia="ru-RU"/>
        </w:rPr>
        <w:t xml:space="preserve"> 35. – </w:t>
      </w:r>
      <w:r>
        <w:rPr>
          <w:lang w:eastAsia="ru-RU"/>
        </w:rPr>
        <w:t>Р</w:t>
      </w:r>
      <w:r w:rsidRPr="00A019F6">
        <w:rPr>
          <w:lang w:val="en-US" w:eastAsia="ru-RU"/>
        </w:rPr>
        <w:t>. 2639-2654.</w:t>
      </w:r>
    </w:p>
    <w:p w:rsidR="00CC2F0B" w:rsidRPr="00A019F6" w:rsidRDefault="00CC2F0B" w:rsidP="00CC2F0B">
      <w:pPr>
        <w:pStyle w:val="a7"/>
        <w:numPr>
          <w:ilvl w:val="0"/>
          <w:numId w:val="6"/>
        </w:numPr>
        <w:rPr>
          <w:lang w:val="en-US"/>
        </w:rPr>
      </w:pPr>
      <w:r w:rsidRPr="00A019F6">
        <w:rPr>
          <w:lang w:val="en-US"/>
        </w:rPr>
        <w:t xml:space="preserve">Biere L., Pinaud F, Delépine s, et al. CMR assessment after a transapical-transcatheter aortic valve implantation. // Eur J Radiol. </w:t>
      </w:r>
      <w:proofErr w:type="gramStart"/>
      <w:r w:rsidRPr="00A019F6">
        <w:rPr>
          <w:lang w:val="en-US"/>
        </w:rPr>
        <w:t>–  2014</w:t>
      </w:r>
      <w:proofErr w:type="gramEnd"/>
      <w:r w:rsidRPr="00A019F6">
        <w:rPr>
          <w:lang w:val="en-US"/>
        </w:rPr>
        <w:t xml:space="preserve">. – Vol.  83 (2). – </w:t>
      </w:r>
      <w:r>
        <w:t>Р</w:t>
      </w:r>
      <w:r w:rsidRPr="00A019F6">
        <w:rPr>
          <w:lang w:val="en-US"/>
        </w:rPr>
        <w:t>. 303-8</w:t>
      </w:r>
    </w:p>
    <w:p w:rsidR="00CC2F0B" w:rsidRPr="00A019F6" w:rsidRDefault="00CC2F0B" w:rsidP="00CC2F0B">
      <w:pPr>
        <w:pStyle w:val="a7"/>
        <w:numPr>
          <w:ilvl w:val="0"/>
          <w:numId w:val="6"/>
        </w:numPr>
        <w:rPr>
          <w:lang w:val="en-US"/>
        </w:rPr>
      </w:pPr>
      <w:r w:rsidRPr="00A019F6">
        <w:rPr>
          <w:lang w:val="en-US"/>
        </w:rPr>
        <w:t xml:space="preserve">Bleiziffer S, Piazza N, Mazzitelli D, et al. Apical-access-related complications associated with transcatheter aortic valve implantation. // Eur J Cardiothorac surg. – 2011. – Vol.  40 (2). – </w:t>
      </w:r>
      <w:r>
        <w:t>Р</w:t>
      </w:r>
      <w:r w:rsidRPr="00A019F6">
        <w:rPr>
          <w:lang w:val="en-US"/>
        </w:rPr>
        <w:t>.  469-74</w:t>
      </w:r>
    </w:p>
    <w:p w:rsidR="00CC2F0B" w:rsidRPr="00A019F6" w:rsidRDefault="00CC2F0B" w:rsidP="00CC2F0B">
      <w:pPr>
        <w:pStyle w:val="a7"/>
        <w:numPr>
          <w:ilvl w:val="0"/>
          <w:numId w:val="6"/>
        </w:numPr>
        <w:rPr>
          <w:lang w:val="en-US"/>
        </w:rPr>
      </w:pPr>
      <w:r w:rsidRPr="00A019F6">
        <w:rPr>
          <w:lang w:val="en-US"/>
        </w:rPr>
        <w:t xml:space="preserve">Borger M.A., Carson S.M., Ivanov J. et al. Stentless aortic valves are hemodynamically superior to stented valves during mid-term follow up: a large retrospective study // Ann Thorac Surg. – 2005. – Vol.  80 (6). – </w:t>
      </w:r>
      <w:r>
        <w:t>Р</w:t>
      </w:r>
      <w:r w:rsidRPr="00A019F6">
        <w:rPr>
          <w:lang w:val="en-US"/>
        </w:rPr>
        <w:t>. 2180-5.</w:t>
      </w:r>
    </w:p>
    <w:p w:rsidR="00CC2F0B" w:rsidRPr="00A019F6" w:rsidRDefault="00CC2F0B" w:rsidP="00CC2F0B">
      <w:pPr>
        <w:pStyle w:val="a7"/>
        <w:numPr>
          <w:ilvl w:val="0"/>
          <w:numId w:val="6"/>
        </w:numPr>
        <w:rPr>
          <w:lang w:val="en-US"/>
        </w:rPr>
      </w:pPr>
      <w:r w:rsidRPr="00A019F6">
        <w:rPr>
          <w:lang w:val="en-US"/>
        </w:rPr>
        <w:lastRenderedPageBreak/>
        <w:t>Borger M.A.,</w:t>
      </w:r>
      <w:proofErr w:type="gramStart"/>
      <w:r w:rsidRPr="00A019F6">
        <w:rPr>
          <w:lang w:val="en-US"/>
        </w:rPr>
        <w:t>  Preston</w:t>
      </w:r>
      <w:proofErr w:type="gramEnd"/>
      <w:r w:rsidRPr="00A019F6">
        <w:rPr>
          <w:lang w:val="en-US"/>
        </w:rPr>
        <w:t xml:space="preserve"> M.,  Ivanov J. et al. Should the ascending aorta be replaced more frequently in patients with bicuspid aortic valve disease? // </w:t>
      </w:r>
      <w:r w:rsidRPr="00A019F6">
        <w:rPr>
          <w:iCs/>
          <w:lang w:val="en-US"/>
        </w:rPr>
        <w:t>J Thorac Cardiovasc Surg</w:t>
      </w:r>
      <w:r w:rsidRPr="00A019F6">
        <w:rPr>
          <w:lang w:val="en-US"/>
        </w:rPr>
        <w:t>. – 2004</w:t>
      </w:r>
      <w:r w:rsidRPr="00A019F6">
        <w:rPr>
          <w:shd w:val="clear" w:color="auto" w:fill="FFFFFF"/>
          <w:lang w:val="en-US"/>
        </w:rPr>
        <w:t xml:space="preserve">. </w:t>
      </w:r>
      <w:r w:rsidRPr="00A019F6">
        <w:rPr>
          <w:lang w:val="en-US"/>
        </w:rPr>
        <w:t>– Vol.  128</w:t>
      </w:r>
      <w:r w:rsidRPr="00A019F6">
        <w:rPr>
          <w:shd w:val="clear" w:color="auto" w:fill="FFFFFF"/>
          <w:lang w:val="en-US"/>
        </w:rPr>
        <w:t xml:space="preserve">. – </w:t>
      </w:r>
      <w:r w:rsidRPr="00A019F6">
        <w:rPr>
          <w:shd w:val="clear" w:color="auto" w:fill="FFFFFF"/>
        </w:rPr>
        <w:t>Р</w:t>
      </w:r>
      <w:r w:rsidRPr="00A019F6">
        <w:rPr>
          <w:shd w:val="clear" w:color="auto" w:fill="FFFFFF"/>
          <w:lang w:val="en-US"/>
        </w:rPr>
        <w:t>.</w:t>
      </w:r>
      <w:r w:rsidRPr="00A019F6">
        <w:rPr>
          <w:lang w:val="en-US"/>
        </w:rPr>
        <w:t xml:space="preserve"> 677</w:t>
      </w:r>
      <w:r w:rsidRPr="00A019F6">
        <w:rPr>
          <w:shd w:val="clear" w:color="auto" w:fill="FFFFFF"/>
          <w:lang w:val="en-US"/>
        </w:rPr>
        <w:t>–</w:t>
      </w:r>
      <w:r w:rsidRPr="00A019F6">
        <w:rPr>
          <w:lang w:val="en-US"/>
        </w:rPr>
        <w:t>683</w:t>
      </w:r>
      <w:r w:rsidRPr="00A019F6">
        <w:rPr>
          <w:shd w:val="clear" w:color="auto" w:fill="FFFFFF"/>
          <w:lang w:val="en-US"/>
        </w:rPr>
        <w:t>.</w:t>
      </w:r>
    </w:p>
    <w:p w:rsidR="00CC2F0B" w:rsidRPr="00A019F6" w:rsidRDefault="00CC2F0B" w:rsidP="00CC2F0B">
      <w:pPr>
        <w:pStyle w:val="a7"/>
        <w:numPr>
          <w:ilvl w:val="0"/>
          <w:numId w:val="6"/>
        </w:numPr>
        <w:rPr>
          <w:lang w:val="en-US" w:eastAsia="ru-RU"/>
        </w:rPr>
      </w:pPr>
      <w:r w:rsidRPr="00A019F6">
        <w:rPr>
          <w:lang w:val="en-US" w:eastAsia="ru-RU"/>
        </w:rPr>
        <w:t xml:space="preserve">Bosmans J.M., Kefer J., De Bruyne B. et al. Procedural, 30-day and one year outcome following CoreValve or </w:t>
      </w:r>
      <w:proofErr w:type="gramStart"/>
      <w:r w:rsidRPr="00A019F6">
        <w:rPr>
          <w:lang w:val="en-US" w:eastAsia="ru-RU"/>
        </w:rPr>
        <w:t>Edwards</w:t>
      </w:r>
      <w:proofErr w:type="gramEnd"/>
      <w:r w:rsidRPr="00A019F6">
        <w:rPr>
          <w:lang w:val="en-US" w:eastAsia="ru-RU"/>
        </w:rPr>
        <w:t xml:space="preserve"> transcatheter aortic valve implantation: results of the Belgian national registry. // Interact. Cardiovasc. Thorac. Surg. – 2011. </w:t>
      </w:r>
      <w:r w:rsidRPr="00A019F6">
        <w:rPr>
          <w:lang w:val="en-US"/>
        </w:rPr>
        <w:t xml:space="preserve">– Vol. </w:t>
      </w:r>
      <w:r w:rsidRPr="00A019F6">
        <w:rPr>
          <w:lang w:val="en-US" w:eastAsia="ru-RU"/>
        </w:rPr>
        <w:t xml:space="preserve"> 12 (5). – </w:t>
      </w:r>
      <w:proofErr w:type="gramStart"/>
      <w:r>
        <w:rPr>
          <w:lang w:eastAsia="ru-RU"/>
        </w:rPr>
        <w:t>Р</w:t>
      </w:r>
      <w:r w:rsidRPr="00A019F6">
        <w:rPr>
          <w:lang w:val="en-US" w:eastAsia="ru-RU"/>
        </w:rPr>
        <w:t>. 762</w:t>
      </w:r>
      <w:proofErr w:type="gramEnd"/>
      <w:r w:rsidRPr="00A019F6">
        <w:rPr>
          <w:lang w:val="en-US" w:eastAsia="ru-RU"/>
        </w:rPr>
        <w:t>-767.</w:t>
      </w:r>
    </w:p>
    <w:p w:rsidR="00CC2F0B" w:rsidRPr="00A019F6" w:rsidRDefault="00CC2F0B" w:rsidP="00CC2F0B">
      <w:pPr>
        <w:pStyle w:val="a7"/>
        <w:numPr>
          <w:ilvl w:val="0"/>
          <w:numId w:val="6"/>
        </w:numPr>
        <w:tabs>
          <w:tab w:val="left" w:pos="975"/>
        </w:tabs>
        <w:rPr>
          <w:lang w:val="en-US"/>
        </w:rPr>
      </w:pPr>
      <w:r w:rsidRPr="00A019F6">
        <w:rPr>
          <w:lang w:val="en-US"/>
        </w:rPr>
        <w:t xml:space="preserve">Bridgewater B. Cardiac registers: the adult cardiac surgery register. // Heart. </w:t>
      </w:r>
      <w:proofErr w:type="gramStart"/>
      <w:r w:rsidRPr="00A019F6">
        <w:rPr>
          <w:lang w:val="en-US"/>
        </w:rPr>
        <w:t>–  2010</w:t>
      </w:r>
      <w:proofErr w:type="gramEnd"/>
      <w:r w:rsidRPr="00A019F6">
        <w:rPr>
          <w:lang w:val="en-US"/>
        </w:rPr>
        <w:t xml:space="preserve">. – Vol. 96. – </w:t>
      </w:r>
      <w:proofErr w:type="gramStart"/>
      <w:r>
        <w:t>Р</w:t>
      </w:r>
      <w:r w:rsidRPr="00A019F6">
        <w:rPr>
          <w:lang w:val="en-US"/>
        </w:rPr>
        <w:t>. 1441</w:t>
      </w:r>
      <w:proofErr w:type="gramEnd"/>
      <w:r w:rsidRPr="00A019F6">
        <w:rPr>
          <w:lang w:val="en-US"/>
        </w:rPr>
        <w:t>-1443.</w:t>
      </w:r>
    </w:p>
    <w:p w:rsidR="00CC2F0B" w:rsidRPr="00A019F6" w:rsidRDefault="00CC2F0B" w:rsidP="00CC2F0B">
      <w:pPr>
        <w:pStyle w:val="a7"/>
        <w:numPr>
          <w:ilvl w:val="0"/>
          <w:numId w:val="6"/>
        </w:numPr>
        <w:rPr>
          <w:lang w:val="en-US"/>
        </w:rPr>
      </w:pPr>
      <w:r w:rsidRPr="00A019F6">
        <w:rPr>
          <w:lang w:val="en-US"/>
        </w:rPr>
        <w:t xml:space="preserve">Brown M.L., McKellar S.H., Sundt T.M., Schaff H.V. Ministernotomy versus conventional sternotomy for aortic valve replacement: a systematic review and meta-analysis. // J Thorac Cardiovasc Surg. </w:t>
      </w:r>
      <w:proofErr w:type="gramStart"/>
      <w:r w:rsidRPr="00A019F6">
        <w:rPr>
          <w:lang w:val="en-US"/>
        </w:rPr>
        <w:t>–  2009</w:t>
      </w:r>
      <w:proofErr w:type="gramEnd"/>
      <w:r w:rsidRPr="00A019F6">
        <w:rPr>
          <w:lang w:val="en-US"/>
        </w:rPr>
        <w:t xml:space="preserve">. – Vol. 137. – </w:t>
      </w:r>
      <w:r>
        <w:t>Р</w:t>
      </w:r>
      <w:r w:rsidRPr="00A019F6">
        <w:rPr>
          <w:lang w:val="en-US"/>
        </w:rPr>
        <w:t>. 670–679.e5.</w:t>
      </w:r>
    </w:p>
    <w:p w:rsidR="00CC2F0B" w:rsidRPr="00A019F6" w:rsidRDefault="00CC2F0B" w:rsidP="00CC2F0B">
      <w:pPr>
        <w:pStyle w:val="a7"/>
        <w:numPr>
          <w:ilvl w:val="0"/>
          <w:numId w:val="6"/>
        </w:numPr>
        <w:rPr>
          <w:lang w:val="en-US" w:eastAsia="ru-RU"/>
        </w:rPr>
      </w:pPr>
      <w:r w:rsidRPr="00A019F6">
        <w:rPr>
          <w:lang w:val="en-US" w:eastAsia="ru-RU"/>
        </w:rPr>
        <w:t xml:space="preserve">Caceres M., Braud R., Roselli E.E. The axillary/subclavian artery access route for transcatheter aortic valve replacement: a systematic review of the literature. // Ann. Thorac. Surg. – 2012. </w:t>
      </w:r>
      <w:r w:rsidRPr="00A019F6">
        <w:rPr>
          <w:lang w:val="en-US"/>
        </w:rPr>
        <w:t xml:space="preserve">– Vol. </w:t>
      </w:r>
      <w:r w:rsidRPr="00A019F6">
        <w:rPr>
          <w:lang w:val="en-US" w:eastAsia="ru-RU"/>
        </w:rPr>
        <w:t xml:space="preserve"> 93. – </w:t>
      </w:r>
      <w:r>
        <w:rPr>
          <w:lang w:eastAsia="ru-RU"/>
        </w:rPr>
        <w:t>Р</w:t>
      </w:r>
      <w:r w:rsidRPr="00A019F6">
        <w:rPr>
          <w:lang w:val="en-US" w:eastAsia="ru-RU"/>
        </w:rPr>
        <w:t>. 1013-1018.</w:t>
      </w:r>
    </w:p>
    <w:p w:rsidR="00CC2F0B" w:rsidRPr="00A019F6" w:rsidRDefault="00CC2F0B" w:rsidP="00CC2F0B">
      <w:pPr>
        <w:pStyle w:val="a7"/>
        <w:numPr>
          <w:ilvl w:val="0"/>
          <w:numId w:val="6"/>
        </w:numPr>
        <w:rPr>
          <w:sz w:val="23"/>
          <w:szCs w:val="23"/>
          <w:lang w:val="en-US"/>
        </w:rPr>
      </w:pPr>
      <w:r w:rsidRPr="00A019F6">
        <w:rPr>
          <w:lang w:val="en-US"/>
        </w:rPr>
        <w:t>Chaliki H.P., Mohty D., Avierinos J.F. et al. Outcomes after aortic valve replacement in patients with severe aortic regurgitation and markedly reduced left ventricular function</w:t>
      </w:r>
      <w:r w:rsidRPr="00A019F6">
        <w:rPr>
          <w:i/>
          <w:shd w:val="clear" w:color="auto" w:fill="FFFFFF"/>
          <w:lang w:val="en-US"/>
        </w:rPr>
        <w:t>. </w:t>
      </w:r>
      <w:r w:rsidRPr="00A019F6">
        <w:rPr>
          <w:lang w:val="en-US"/>
        </w:rPr>
        <w:t xml:space="preserve">// </w:t>
      </w:r>
      <w:r w:rsidRPr="00A019F6">
        <w:rPr>
          <w:iCs/>
          <w:lang w:val="en-US"/>
        </w:rPr>
        <w:t>Circulation</w:t>
      </w:r>
      <w:r w:rsidRPr="00A019F6">
        <w:rPr>
          <w:lang w:val="en-US"/>
        </w:rPr>
        <w:t xml:space="preserve">. </w:t>
      </w:r>
      <w:proofErr w:type="gramStart"/>
      <w:r w:rsidRPr="00A019F6">
        <w:rPr>
          <w:lang w:val="en-US"/>
        </w:rPr>
        <w:t>–  2002</w:t>
      </w:r>
      <w:proofErr w:type="gramEnd"/>
      <w:r w:rsidRPr="00A019F6">
        <w:rPr>
          <w:shd w:val="clear" w:color="auto" w:fill="FFFFFF"/>
          <w:lang w:val="en-US"/>
        </w:rPr>
        <w:t xml:space="preserve">. </w:t>
      </w:r>
      <w:r w:rsidRPr="00A019F6">
        <w:rPr>
          <w:lang w:val="en-US"/>
        </w:rPr>
        <w:t>– Vol.  106</w:t>
      </w:r>
      <w:r w:rsidRPr="00A019F6">
        <w:rPr>
          <w:shd w:val="clear" w:color="auto" w:fill="FFFFFF"/>
          <w:lang w:val="en-US"/>
        </w:rPr>
        <w:t xml:space="preserve">. – </w:t>
      </w:r>
      <w:r w:rsidRPr="00A019F6">
        <w:rPr>
          <w:shd w:val="clear" w:color="auto" w:fill="FFFFFF"/>
        </w:rPr>
        <w:t>Р</w:t>
      </w:r>
      <w:r w:rsidRPr="00A019F6">
        <w:rPr>
          <w:shd w:val="clear" w:color="auto" w:fill="FFFFFF"/>
          <w:lang w:val="en-US"/>
        </w:rPr>
        <w:t>.</w:t>
      </w:r>
      <w:r w:rsidRPr="00A019F6">
        <w:rPr>
          <w:lang w:val="en-US"/>
        </w:rPr>
        <w:t xml:space="preserve"> 2687</w:t>
      </w:r>
      <w:r w:rsidRPr="00A019F6">
        <w:rPr>
          <w:shd w:val="clear" w:color="auto" w:fill="FFFFFF"/>
          <w:lang w:val="en-US"/>
        </w:rPr>
        <w:t>–</w:t>
      </w:r>
      <w:r w:rsidRPr="00A019F6">
        <w:rPr>
          <w:lang w:val="en-US"/>
        </w:rPr>
        <w:t>2693</w:t>
      </w:r>
      <w:r w:rsidRPr="00A019F6">
        <w:rPr>
          <w:shd w:val="clear" w:color="auto" w:fill="FFFFFF"/>
          <w:lang w:val="en-US"/>
        </w:rPr>
        <w:t>.</w:t>
      </w:r>
    </w:p>
    <w:p w:rsidR="00CC2F0B" w:rsidRPr="00A019F6" w:rsidRDefault="00CC2F0B" w:rsidP="00CC2F0B">
      <w:pPr>
        <w:pStyle w:val="a7"/>
        <w:numPr>
          <w:ilvl w:val="0"/>
          <w:numId w:val="6"/>
        </w:numPr>
        <w:rPr>
          <w:rFonts w:ascii="REG" w:hAnsi="REG"/>
          <w:color w:val="000000"/>
          <w:sz w:val="23"/>
          <w:szCs w:val="23"/>
          <w:lang w:val="en-US"/>
        </w:rPr>
      </w:pPr>
      <w:r w:rsidRPr="00A019F6">
        <w:rPr>
          <w:lang w:val="en-US"/>
        </w:rPr>
        <w:t xml:space="preserve">Chambers J. B., Rajani R., Parkin D. et al. Bovine pericardial versus porcine stented replacement aortic valves: early results of a randomized comparison of the Perimount and the Mosaic valves. // J. Thorac. Cardiovasc. Surg. – 2008. – Vol.  136 (5). – </w:t>
      </w:r>
      <w:r>
        <w:t>Р</w:t>
      </w:r>
      <w:r w:rsidRPr="00A019F6">
        <w:rPr>
          <w:lang w:val="en-US"/>
        </w:rPr>
        <w:t>. 1142</w:t>
      </w:r>
      <w:r w:rsidRPr="00A019F6">
        <w:rPr>
          <w:rFonts w:ascii="REG" w:hAnsi="REG"/>
          <w:color w:val="000000"/>
          <w:sz w:val="23"/>
          <w:szCs w:val="23"/>
          <w:lang w:val="en-US"/>
        </w:rPr>
        <w:t>—</w:t>
      </w:r>
      <w:r w:rsidRPr="00A019F6">
        <w:rPr>
          <w:lang w:val="en-US"/>
        </w:rPr>
        <w:t>1148.</w:t>
      </w:r>
      <w:r w:rsidRPr="00A019F6">
        <w:rPr>
          <w:rFonts w:ascii="REG" w:hAnsi="REG"/>
          <w:color w:val="000000"/>
          <w:sz w:val="23"/>
          <w:szCs w:val="23"/>
          <w:lang w:val="en-US"/>
        </w:rPr>
        <w:t> </w:t>
      </w:r>
    </w:p>
    <w:p w:rsidR="00CC2F0B" w:rsidRPr="00A019F6" w:rsidRDefault="00CC2F0B" w:rsidP="00CC2F0B">
      <w:pPr>
        <w:pStyle w:val="a7"/>
        <w:numPr>
          <w:ilvl w:val="0"/>
          <w:numId w:val="6"/>
        </w:numPr>
        <w:rPr>
          <w:lang w:val="en-US"/>
        </w:rPr>
      </w:pPr>
      <w:r w:rsidRPr="00A019F6">
        <w:rPr>
          <w:lang w:val="en-US"/>
        </w:rPr>
        <w:t xml:space="preserve">Chiappini B., Camurri N., Loforte A. et al. Outcome after aortic valve replacement in octogenarians // Ann Thorac Surg. – 2004. – Vol.  78 (1). – </w:t>
      </w:r>
      <w:r>
        <w:t>Р</w:t>
      </w:r>
      <w:r w:rsidRPr="00A019F6">
        <w:rPr>
          <w:lang w:val="en-US"/>
        </w:rPr>
        <w:t>. 85-9. </w:t>
      </w:r>
    </w:p>
    <w:p w:rsidR="00CC2F0B" w:rsidRPr="00A019F6" w:rsidRDefault="00CC2F0B" w:rsidP="00CC2F0B">
      <w:pPr>
        <w:pStyle w:val="a7"/>
        <w:numPr>
          <w:ilvl w:val="0"/>
          <w:numId w:val="6"/>
        </w:numPr>
        <w:rPr>
          <w:lang w:val="en-US"/>
        </w:rPr>
      </w:pPr>
      <w:r w:rsidRPr="00A019F6">
        <w:rPr>
          <w:lang w:val="en-US"/>
        </w:rPr>
        <w:t xml:space="preserve">Conrotto F, D’Ascenzo F, Francesca G, et al. Impact of access on TAVI procedural and midterm follow-up: a meta-analysis of 13 studies and 10,468 patients. // J Interv Cardiol. – 2014. – Vol. 27. – </w:t>
      </w:r>
      <w:r>
        <w:t>Р</w:t>
      </w:r>
      <w:r w:rsidRPr="00A019F6">
        <w:rPr>
          <w:lang w:val="en-US"/>
        </w:rPr>
        <w:t xml:space="preserve">. 500-8. </w:t>
      </w:r>
    </w:p>
    <w:p w:rsidR="00CC2F0B" w:rsidRPr="00A019F6" w:rsidRDefault="00CC2F0B" w:rsidP="00CC2F0B">
      <w:pPr>
        <w:pStyle w:val="a7"/>
        <w:numPr>
          <w:ilvl w:val="0"/>
          <w:numId w:val="6"/>
        </w:numPr>
        <w:rPr>
          <w:lang w:val="en-US"/>
        </w:rPr>
      </w:pPr>
      <w:r w:rsidRPr="00A019F6">
        <w:rPr>
          <w:lang w:val="en-US"/>
        </w:rPr>
        <w:lastRenderedPageBreak/>
        <w:t xml:space="preserve">D'Ancona G., Pasic M., Buz S. et al. TAVI for pure aortic valve insufficiency in a patient with a left ventricular assist device. // Ann Thorac Surg. – 2012. – Vol. 93(4). – </w:t>
      </w:r>
      <w:proofErr w:type="gramStart"/>
      <w:r w:rsidRPr="00A019F6">
        <w:rPr>
          <w:lang w:val="en-US"/>
        </w:rPr>
        <w:t>e89-91</w:t>
      </w:r>
      <w:proofErr w:type="gramEnd"/>
      <w:r w:rsidRPr="00A019F6">
        <w:rPr>
          <w:lang w:val="en-US"/>
        </w:rPr>
        <w:t>.</w:t>
      </w:r>
    </w:p>
    <w:p w:rsidR="00CC2F0B" w:rsidRPr="00A019F6" w:rsidRDefault="00CC2F0B" w:rsidP="00CC2F0B">
      <w:pPr>
        <w:pStyle w:val="a7"/>
        <w:numPr>
          <w:ilvl w:val="0"/>
          <w:numId w:val="6"/>
        </w:numPr>
        <w:rPr>
          <w:lang w:val="en-US"/>
        </w:rPr>
      </w:pPr>
      <w:r w:rsidRPr="00A019F6">
        <w:rPr>
          <w:lang w:val="en-US"/>
        </w:rPr>
        <w:t xml:space="preserve">Eichinger W., Gunzinger R., Botzenhardt F. et al. The Mosaic bioprosthesis in the aortic position at five years. // J. Heart Valve Dis. – 2000. – Vol.  9 (5). – </w:t>
      </w:r>
      <w:r>
        <w:t>Р</w:t>
      </w:r>
      <w:r w:rsidRPr="00A019F6">
        <w:rPr>
          <w:lang w:val="en-US"/>
        </w:rPr>
        <w:t>. 653—660. </w:t>
      </w:r>
    </w:p>
    <w:p w:rsidR="00CC2F0B" w:rsidRPr="00A019F6" w:rsidRDefault="00CC2F0B" w:rsidP="00CC2F0B">
      <w:pPr>
        <w:pStyle w:val="a7"/>
        <w:numPr>
          <w:ilvl w:val="0"/>
          <w:numId w:val="6"/>
        </w:numPr>
        <w:rPr>
          <w:shd w:val="clear" w:color="auto" w:fill="FFFFFF"/>
          <w:lang w:val="en-US"/>
        </w:rPr>
      </w:pPr>
      <w:r w:rsidRPr="00A019F6">
        <w:rPr>
          <w:shd w:val="clear" w:color="auto" w:fill="FFFFFF"/>
          <w:lang w:val="en-US"/>
        </w:rPr>
        <w:t xml:space="preserve">Elmariah S., Mohler E.R. The Pathogenesis and treatment of the valvulopathy of aortic stenosis: Beyond the SEAS // Curr Cardiol Rep. – 2010.  </w:t>
      </w:r>
      <w:r w:rsidRPr="00A019F6">
        <w:rPr>
          <w:lang w:val="en-US"/>
        </w:rPr>
        <w:t xml:space="preserve">– Vol. </w:t>
      </w:r>
      <w:r w:rsidRPr="00A019F6">
        <w:rPr>
          <w:shd w:val="clear" w:color="auto" w:fill="FFFFFF"/>
          <w:lang w:val="en-US"/>
        </w:rPr>
        <w:t xml:space="preserve">12 (2). – </w:t>
      </w:r>
      <w:r w:rsidRPr="00A019F6">
        <w:rPr>
          <w:shd w:val="clear" w:color="auto" w:fill="FFFFFF"/>
        </w:rPr>
        <w:t>Р</w:t>
      </w:r>
      <w:r w:rsidRPr="00A019F6">
        <w:rPr>
          <w:shd w:val="clear" w:color="auto" w:fill="FFFFFF"/>
          <w:lang w:val="en-US"/>
        </w:rPr>
        <w:t>. 125-32.</w:t>
      </w:r>
    </w:p>
    <w:p w:rsidR="00CC2F0B" w:rsidRPr="00A019F6" w:rsidRDefault="00CC2F0B" w:rsidP="00CC2F0B">
      <w:pPr>
        <w:pStyle w:val="a7"/>
        <w:numPr>
          <w:ilvl w:val="0"/>
          <w:numId w:val="6"/>
        </w:numPr>
        <w:rPr>
          <w:lang w:val="en-US"/>
        </w:rPr>
      </w:pPr>
      <w:r w:rsidRPr="00A019F6">
        <w:rPr>
          <w:lang w:val="en-US"/>
        </w:rPr>
        <w:t xml:space="preserve">Ennker J., Dalladaku F., Rosendahl U. et al. The stentless freestyle bioprosthesis: impact of age over 80 years on quality of life, perioperative, and mid-term outcome // J Card Surg. – 2006. – Vol. 21 (4). – </w:t>
      </w:r>
      <w:r>
        <w:t>Р</w:t>
      </w:r>
      <w:r w:rsidRPr="00A019F6">
        <w:rPr>
          <w:lang w:val="en-US"/>
        </w:rPr>
        <w:t>. 379-85</w:t>
      </w:r>
    </w:p>
    <w:p w:rsidR="00CC2F0B" w:rsidRPr="00A019F6" w:rsidRDefault="00CC2F0B" w:rsidP="00CC2F0B">
      <w:pPr>
        <w:pStyle w:val="a7"/>
        <w:numPr>
          <w:ilvl w:val="0"/>
          <w:numId w:val="6"/>
        </w:numPr>
        <w:rPr>
          <w:lang w:val="en-US"/>
        </w:rPr>
      </w:pPr>
      <w:r w:rsidRPr="00A019F6">
        <w:rPr>
          <w:lang w:val="en-US"/>
        </w:rPr>
        <w:t>Erbel R., Aboyans V., Boileau C. et al. ESC Committee for Practice Guidelines. 2014 ESC Guidelines on the diagnosis and treatment of aortic diseases: Document covering acute and chronic aortic diseases of the thoracic and abdominal aorta of the adult. The Task Force for the Diagnosis and Treatment of Aortic Diseases of the European Society of Cardiology (ESC)</w:t>
      </w:r>
      <w:r w:rsidRPr="00A019F6">
        <w:rPr>
          <w:shd w:val="clear" w:color="auto" w:fill="FFFFFF"/>
          <w:lang w:val="en-US"/>
        </w:rPr>
        <w:t>. </w:t>
      </w:r>
      <w:r w:rsidRPr="00A019F6">
        <w:rPr>
          <w:lang w:val="en-US"/>
        </w:rPr>
        <w:t xml:space="preserve">// </w:t>
      </w:r>
      <w:r w:rsidRPr="00A019F6">
        <w:rPr>
          <w:iCs/>
          <w:lang w:val="en-US"/>
        </w:rPr>
        <w:t>Eur Heart J</w:t>
      </w:r>
      <w:r w:rsidRPr="00A019F6">
        <w:rPr>
          <w:lang w:val="en-US"/>
        </w:rPr>
        <w:t>. – 2014</w:t>
      </w:r>
      <w:r w:rsidRPr="00A019F6">
        <w:rPr>
          <w:shd w:val="clear" w:color="auto" w:fill="FFFFFF"/>
          <w:lang w:val="en-US"/>
        </w:rPr>
        <w:t xml:space="preserve">. </w:t>
      </w:r>
      <w:r w:rsidRPr="00A019F6">
        <w:rPr>
          <w:lang w:val="en-US"/>
        </w:rPr>
        <w:t>– Vol.  35</w:t>
      </w:r>
      <w:r w:rsidRPr="00A019F6">
        <w:rPr>
          <w:shd w:val="clear" w:color="auto" w:fill="FFFFFF"/>
          <w:lang w:val="en-US"/>
        </w:rPr>
        <w:t xml:space="preserve">. – </w:t>
      </w:r>
      <w:r w:rsidRPr="00A019F6">
        <w:rPr>
          <w:shd w:val="clear" w:color="auto" w:fill="FFFFFF"/>
        </w:rPr>
        <w:t>Р</w:t>
      </w:r>
      <w:r w:rsidRPr="00A019F6">
        <w:rPr>
          <w:shd w:val="clear" w:color="auto" w:fill="FFFFFF"/>
          <w:lang w:val="en-US"/>
        </w:rPr>
        <w:t xml:space="preserve">. </w:t>
      </w:r>
      <w:r w:rsidRPr="00A019F6">
        <w:rPr>
          <w:lang w:val="en-US"/>
        </w:rPr>
        <w:t xml:space="preserve"> 2873</w:t>
      </w:r>
      <w:r w:rsidRPr="00A019F6">
        <w:rPr>
          <w:shd w:val="clear" w:color="auto" w:fill="FFFFFF"/>
          <w:lang w:val="en-US"/>
        </w:rPr>
        <w:t>–</w:t>
      </w:r>
      <w:r w:rsidRPr="00A019F6">
        <w:rPr>
          <w:lang w:val="en-US"/>
        </w:rPr>
        <w:t>2926</w:t>
      </w:r>
      <w:r w:rsidRPr="00A019F6">
        <w:rPr>
          <w:rFonts w:ascii="Arial" w:eastAsia="Times New Roman" w:hAnsi="Arial" w:cs="Arial"/>
          <w:color w:val="2A2A2A"/>
          <w:sz w:val="26"/>
          <w:szCs w:val="26"/>
          <w:shd w:val="clear" w:color="auto" w:fill="FFFFFF"/>
          <w:lang w:val="en-US"/>
        </w:rPr>
        <w:t>.</w:t>
      </w:r>
    </w:p>
    <w:p w:rsidR="00CC2F0B" w:rsidRPr="00A019F6" w:rsidRDefault="00CC2F0B" w:rsidP="00CC2F0B">
      <w:pPr>
        <w:pStyle w:val="a7"/>
        <w:numPr>
          <w:ilvl w:val="0"/>
          <w:numId w:val="6"/>
        </w:numPr>
        <w:rPr>
          <w:lang w:val="en-US"/>
        </w:rPr>
      </w:pPr>
      <w:r w:rsidRPr="00A019F6">
        <w:rPr>
          <w:lang w:val="en-US"/>
        </w:rPr>
        <w:t xml:space="preserve">Etienne P.-Y., Papadatos S., Khoury E.E. et al. Transaortic Transcatheter Aortic Valve Implantation With the Edwards Sapien Valve: Feasibility, Technical Considerations, and Clinical Advantages // Ann Thorac Surg. </w:t>
      </w:r>
      <w:proofErr w:type="gramStart"/>
      <w:r w:rsidRPr="00A019F6">
        <w:rPr>
          <w:lang w:val="en-US"/>
        </w:rPr>
        <w:t>–  2011</w:t>
      </w:r>
      <w:proofErr w:type="gramEnd"/>
      <w:r w:rsidRPr="00A019F6">
        <w:rPr>
          <w:lang w:val="en-US"/>
        </w:rPr>
        <w:t xml:space="preserve">. – Vol. 92. – </w:t>
      </w:r>
      <w:proofErr w:type="gramStart"/>
      <w:r>
        <w:t>Р</w:t>
      </w:r>
      <w:r w:rsidRPr="00A019F6">
        <w:rPr>
          <w:lang w:val="en-US"/>
        </w:rPr>
        <w:t>. 746</w:t>
      </w:r>
      <w:proofErr w:type="gramEnd"/>
      <w:r w:rsidRPr="00A019F6">
        <w:rPr>
          <w:lang w:val="en-US"/>
        </w:rPr>
        <w:t>–748.</w:t>
      </w:r>
    </w:p>
    <w:p w:rsidR="00CC2F0B" w:rsidRPr="00A019F6" w:rsidRDefault="00CC2F0B" w:rsidP="00CC2F0B">
      <w:pPr>
        <w:pStyle w:val="a7"/>
        <w:numPr>
          <w:ilvl w:val="0"/>
          <w:numId w:val="6"/>
        </w:numPr>
        <w:rPr>
          <w:lang w:val="en-US"/>
        </w:rPr>
      </w:pPr>
      <w:r w:rsidRPr="00A019F6">
        <w:rPr>
          <w:lang w:val="en-US"/>
        </w:rPr>
        <w:t xml:space="preserve">Fanning J.P., Walters D.L., </w:t>
      </w:r>
      <w:proofErr w:type="gramStart"/>
      <w:r w:rsidRPr="00A019F6">
        <w:rPr>
          <w:lang w:val="en-US"/>
        </w:rPr>
        <w:t>Platts</w:t>
      </w:r>
      <w:proofErr w:type="gramEnd"/>
      <w:r w:rsidRPr="00A019F6">
        <w:rPr>
          <w:lang w:val="en-US"/>
        </w:rPr>
        <w:t xml:space="preserve"> D.G. et al. Characterization of neurological injury in transcatheter aortic valve implantation: how clear is the picture? // Circulation. – 2014. – Vol.   129 (4). – </w:t>
      </w:r>
      <w:r>
        <w:t>Р</w:t>
      </w:r>
      <w:r w:rsidRPr="00A019F6">
        <w:rPr>
          <w:lang w:val="en-US"/>
        </w:rPr>
        <w:t>. 504–15.</w:t>
      </w:r>
    </w:p>
    <w:p w:rsidR="00CC2F0B" w:rsidRPr="00A019F6" w:rsidRDefault="00CC2F0B" w:rsidP="00CC2F0B">
      <w:pPr>
        <w:pStyle w:val="a7"/>
        <w:numPr>
          <w:ilvl w:val="0"/>
          <w:numId w:val="6"/>
        </w:numPr>
        <w:rPr>
          <w:lang w:val="en-US"/>
        </w:rPr>
      </w:pPr>
      <w:r w:rsidRPr="00A019F6">
        <w:rPr>
          <w:lang w:val="en-US"/>
        </w:rPr>
        <w:t xml:space="preserve">Gargiulo G., Sannino A., Capodanno D. et al. Transcatheter aortic valve implantation versus surgical aortic valve replacement: a systematic review and meta-analysis. // Ann. Intern. Med. </w:t>
      </w:r>
      <w:proofErr w:type="gramStart"/>
      <w:r w:rsidRPr="00A019F6">
        <w:rPr>
          <w:lang w:val="en-US"/>
        </w:rPr>
        <w:t>–  2016</w:t>
      </w:r>
      <w:proofErr w:type="gramEnd"/>
      <w:r w:rsidRPr="00A019F6">
        <w:rPr>
          <w:lang w:val="en-US"/>
        </w:rPr>
        <w:t xml:space="preserve">. – Vol.   165 (5). – </w:t>
      </w:r>
      <w:r>
        <w:t>Р</w:t>
      </w:r>
      <w:r w:rsidRPr="00A019F6">
        <w:rPr>
          <w:lang w:val="en-US"/>
        </w:rPr>
        <w:t>. 334–44.</w:t>
      </w:r>
    </w:p>
    <w:p w:rsidR="00CC2F0B" w:rsidRDefault="00CC2F0B" w:rsidP="00CC2F0B">
      <w:pPr>
        <w:pStyle w:val="a7"/>
        <w:numPr>
          <w:ilvl w:val="0"/>
          <w:numId w:val="6"/>
        </w:numPr>
        <w:rPr>
          <w:lang w:val="en-US"/>
        </w:rPr>
      </w:pPr>
      <w:r w:rsidRPr="00A019F6">
        <w:rPr>
          <w:lang w:val="en-US"/>
        </w:rPr>
        <w:lastRenderedPageBreak/>
        <w:t xml:space="preserve">Gilard M., Eltchaninoff H., lung B. et al. Registry of transcatheter aortic-valve implantation in high-risk patients. // N. Engl. J. Med. – 2012. – Vol.  366 (18). – </w:t>
      </w:r>
      <w:proofErr w:type="gramStart"/>
      <w:r>
        <w:t>Р</w:t>
      </w:r>
      <w:r w:rsidRPr="00A019F6">
        <w:rPr>
          <w:lang w:val="en-US"/>
        </w:rPr>
        <w:t>.</w:t>
      </w:r>
      <w:r>
        <w:rPr>
          <w:lang w:val="en-US"/>
        </w:rPr>
        <w:t xml:space="preserve"> 1705</w:t>
      </w:r>
      <w:proofErr w:type="gramEnd"/>
      <w:r>
        <w:rPr>
          <w:lang w:val="en-US"/>
        </w:rPr>
        <w:t>-1715. </w:t>
      </w:r>
    </w:p>
    <w:p w:rsidR="00CC2F0B" w:rsidRPr="00A019F6" w:rsidRDefault="00CC2F0B" w:rsidP="00CC2F0B">
      <w:pPr>
        <w:pStyle w:val="a7"/>
        <w:numPr>
          <w:ilvl w:val="0"/>
          <w:numId w:val="6"/>
        </w:numPr>
        <w:rPr>
          <w:lang w:val="en-US"/>
        </w:rPr>
      </w:pPr>
      <w:r w:rsidRPr="00A019F6">
        <w:rPr>
          <w:lang w:val="en-US"/>
        </w:rPr>
        <w:t xml:space="preserve">Guidelines on the management of valvular heart disease (version 2012).The Joint Task Force on the Management of Valvular Heart Disease of the European Society of Cardiology (ESC) and the European Association for Cardio-Thoracic Surgery (EACTS). // Eur Heart J. </w:t>
      </w:r>
      <w:proofErr w:type="gramStart"/>
      <w:r w:rsidRPr="00A019F6">
        <w:rPr>
          <w:lang w:val="en-US"/>
        </w:rPr>
        <w:t>–  2012</w:t>
      </w:r>
      <w:proofErr w:type="gramEnd"/>
      <w:r w:rsidRPr="00A019F6">
        <w:rPr>
          <w:lang w:val="en-US"/>
        </w:rPr>
        <w:t xml:space="preserve">. – Vol.  33. – </w:t>
      </w:r>
      <w:r>
        <w:t>Р</w:t>
      </w:r>
      <w:r w:rsidRPr="00A019F6">
        <w:rPr>
          <w:lang w:val="en-US"/>
        </w:rPr>
        <w:t xml:space="preserve">. 2451–2496. </w:t>
      </w:r>
    </w:p>
    <w:p w:rsidR="00CC2F0B" w:rsidRPr="00A019F6" w:rsidRDefault="00CC2F0B" w:rsidP="00CC2F0B">
      <w:pPr>
        <w:pStyle w:val="a7"/>
        <w:numPr>
          <w:ilvl w:val="0"/>
          <w:numId w:val="6"/>
        </w:numPr>
        <w:rPr>
          <w:lang w:val="en-US"/>
        </w:rPr>
      </w:pPr>
      <w:r w:rsidRPr="00A019F6">
        <w:rPr>
          <w:lang w:val="en-US"/>
        </w:rPr>
        <w:t xml:space="preserve">Gulbins H., Reichenspurner H. Which patients benefit from stentless aortic valve replacement? // Ann. Thorac. Surg. – 2009. – Vol.  88 (6). – </w:t>
      </w:r>
      <w:r>
        <w:t>С</w:t>
      </w:r>
      <w:r w:rsidRPr="00A019F6">
        <w:rPr>
          <w:lang w:val="en-US"/>
        </w:rPr>
        <w:t>. 2061—2068.</w:t>
      </w:r>
    </w:p>
    <w:p w:rsidR="00CC2F0B" w:rsidRPr="00A019F6" w:rsidRDefault="00CC2F0B" w:rsidP="00CC2F0B">
      <w:pPr>
        <w:pStyle w:val="a7"/>
        <w:numPr>
          <w:ilvl w:val="0"/>
          <w:numId w:val="6"/>
        </w:numPr>
        <w:rPr>
          <w:lang w:val="en-US"/>
        </w:rPr>
      </w:pPr>
      <w:r w:rsidRPr="00A019F6">
        <w:rPr>
          <w:lang w:val="en-US"/>
        </w:rPr>
        <w:t>Habib G., Lancellotti P., Antunes M.J. et al. 2015 ESC Guidelines for the management of infective endocarditis: the Task Force for the Management of Infective Endocarditis of the European Society of Cardiology (ESC). Endorsed by: European Association for Cardio-Thoracic Surgery (EACTS), the European Association of Nuclear Medicine (EANM)</w:t>
      </w:r>
      <w:r w:rsidRPr="00A019F6">
        <w:rPr>
          <w:shd w:val="clear" w:color="auto" w:fill="FFFFFF"/>
          <w:lang w:val="en-US"/>
        </w:rPr>
        <w:t>. </w:t>
      </w:r>
      <w:r w:rsidRPr="00A019F6">
        <w:rPr>
          <w:lang w:val="en-US"/>
        </w:rPr>
        <w:t>// Eur Heart J. – 2015</w:t>
      </w:r>
      <w:r w:rsidRPr="00A019F6">
        <w:rPr>
          <w:shd w:val="clear" w:color="auto" w:fill="FFFFFF"/>
          <w:lang w:val="en-US"/>
        </w:rPr>
        <w:t xml:space="preserve">. </w:t>
      </w:r>
      <w:r w:rsidRPr="00A019F6">
        <w:rPr>
          <w:lang w:val="en-US"/>
        </w:rPr>
        <w:t>– Vol.  36</w:t>
      </w:r>
      <w:r w:rsidRPr="00A019F6">
        <w:rPr>
          <w:shd w:val="clear" w:color="auto" w:fill="FFFFFF"/>
          <w:lang w:val="en-US"/>
        </w:rPr>
        <w:t xml:space="preserve">. – </w:t>
      </w:r>
      <w:r w:rsidRPr="00A019F6">
        <w:rPr>
          <w:shd w:val="clear" w:color="auto" w:fill="FFFFFF"/>
        </w:rPr>
        <w:t>Р</w:t>
      </w:r>
      <w:r w:rsidRPr="00A019F6">
        <w:rPr>
          <w:shd w:val="clear" w:color="auto" w:fill="FFFFFF"/>
          <w:lang w:val="en-US"/>
        </w:rPr>
        <w:t>.</w:t>
      </w:r>
      <w:r w:rsidRPr="00A019F6">
        <w:rPr>
          <w:lang w:val="en-US"/>
        </w:rPr>
        <w:t xml:space="preserve"> 3075</w:t>
      </w:r>
      <w:r w:rsidRPr="00A019F6">
        <w:rPr>
          <w:shd w:val="clear" w:color="auto" w:fill="FFFFFF"/>
          <w:lang w:val="en-US"/>
        </w:rPr>
        <w:t>–</w:t>
      </w:r>
      <w:r w:rsidRPr="00A019F6">
        <w:rPr>
          <w:lang w:val="en-US"/>
        </w:rPr>
        <w:t>3128</w:t>
      </w:r>
      <w:r w:rsidRPr="00A019F6">
        <w:rPr>
          <w:shd w:val="clear" w:color="auto" w:fill="FFFFFF"/>
          <w:lang w:val="en-US"/>
        </w:rPr>
        <w:t>.</w:t>
      </w:r>
    </w:p>
    <w:p w:rsidR="00CC2F0B" w:rsidRDefault="00CC2F0B" w:rsidP="00CC2F0B">
      <w:pPr>
        <w:pStyle w:val="a7"/>
        <w:numPr>
          <w:ilvl w:val="0"/>
          <w:numId w:val="6"/>
        </w:numPr>
        <w:rPr>
          <w:lang w:val="en-US"/>
        </w:rPr>
      </w:pPr>
      <w:r w:rsidRPr="00A019F6">
        <w:rPr>
          <w:lang w:val="en-US"/>
        </w:rPr>
        <w:t xml:space="preserve">Hamm C.W., Möllmann H., Holzhey D. Et al. The German Aortic Valve Registry (GARY): in-hospital outcome. // Eur Heart J. </w:t>
      </w:r>
      <w:proofErr w:type="gramStart"/>
      <w:r w:rsidRPr="00A019F6">
        <w:rPr>
          <w:lang w:val="en-US"/>
        </w:rPr>
        <w:t>–  2014</w:t>
      </w:r>
      <w:proofErr w:type="gramEnd"/>
      <w:r w:rsidRPr="00A019F6">
        <w:rPr>
          <w:lang w:val="en-US"/>
        </w:rPr>
        <w:t xml:space="preserve">. – Vol.  35(24). – </w:t>
      </w:r>
      <w:r>
        <w:t>Р</w:t>
      </w:r>
      <w:r w:rsidRPr="00A019F6">
        <w:rPr>
          <w:lang w:val="en-US"/>
        </w:rPr>
        <w:t>. 1588–98.</w:t>
      </w:r>
    </w:p>
    <w:p w:rsidR="00CC2F0B" w:rsidRPr="00A019F6" w:rsidRDefault="00CC2F0B" w:rsidP="00CC2F0B">
      <w:pPr>
        <w:pStyle w:val="a7"/>
        <w:numPr>
          <w:ilvl w:val="0"/>
          <w:numId w:val="6"/>
        </w:numPr>
        <w:rPr>
          <w:lang w:val="en-US"/>
        </w:rPr>
      </w:pPr>
      <w:r w:rsidRPr="00A019F6">
        <w:rPr>
          <w:lang w:val="en-US"/>
        </w:rPr>
        <w:t xml:space="preserve">Iyem H., Sekuri C., Tavli M., Büket S. Left ventricular hypertrophy and remodeling after aortic valve replacement // Asian Cardiovasc Tho-rac Ann. – 2007. – Vol.  15 (6). – </w:t>
      </w:r>
      <w:r>
        <w:t>Р</w:t>
      </w:r>
      <w:r w:rsidRPr="00A019F6">
        <w:rPr>
          <w:lang w:val="en-US"/>
        </w:rPr>
        <w:t>. 459-62. </w:t>
      </w:r>
    </w:p>
    <w:p w:rsidR="00CC2F0B" w:rsidRPr="00A019F6" w:rsidRDefault="00CC2F0B" w:rsidP="00CC2F0B">
      <w:pPr>
        <w:pStyle w:val="a7"/>
        <w:numPr>
          <w:ilvl w:val="0"/>
          <w:numId w:val="6"/>
        </w:numPr>
        <w:rPr>
          <w:lang w:val="en-US"/>
        </w:rPr>
      </w:pPr>
      <w:r w:rsidRPr="00A019F6">
        <w:rPr>
          <w:lang w:val="en-US"/>
        </w:rPr>
        <w:t xml:space="preserve">Jilaihawi H., Chakravarty T., Weiss R.E., Fontana G.P. et al. Meta-analysis of complications in aortic valve replacement: comparison of Medtronic-Corevalve, EdwardsSapien and surgical aortic valve replacement in 8,536 patients. // Catheter Cardiovasc. Interv. – 2012. – Vol.  80 (1). – </w:t>
      </w:r>
      <w:proofErr w:type="gramStart"/>
      <w:r>
        <w:t>Р</w:t>
      </w:r>
      <w:r w:rsidRPr="00A019F6">
        <w:rPr>
          <w:lang w:val="en-US"/>
        </w:rPr>
        <w:t>. 128</w:t>
      </w:r>
      <w:proofErr w:type="gramEnd"/>
      <w:r w:rsidRPr="00A019F6">
        <w:rPr>
          <w:lang w:val="en-US"/>
        </w:rPr>
        <w:t>-138.</w:t>
      </w:r>
    </w:p>
    <w:p w:rsidR="00CC2F0B" w:rsidRPr="00A019F6" w:rsidRDefault="00CC2F0B" w:rsidP="00CC2F0B">
      <w:pPr>
        <w:pStyle w:val="a7"/>
        <w:numPr>
          <w:ilvl w:val="0"/>
          <w:numId w:val="6"/>
        </w:numPr>
        <w:rPr>
          <w:lang w:val="en-US"/>
        </w:rPr>
      </w:pPr>
      <w:r w:rsidRPr="00A019F6">
        <w:rPr>
          <w:lang w:val="en-US"/>
        </w:rPr>
        <w:t xml:space="preserve">Jin X.Y, Pepper J.R. Do stentless valves make a difference? // Eur J Cardiothorac Surg. – 2002. – Vol. 22 (1). – </w:t>
      </w:r>
      <w:proofErr w:type="gramStart"/>
      <w:r>
        <w:t>Р</w:t>
      </w:r>
      <w:r w:rsidRPr="00A019F6">
        <w:rPr>
          <w:lang w:val="en-US"/>
        </w:rPr>
        <w:t>. 95</w:t>
      </w:r>
      <w:proofErr w:type="gramEnd"/>
      <w:r w:rsidRPr="00A019F6">
        <w:rPr>
          <w:lang w:val="en-US"/>
        </w:rPr>
        <w:t xml:space="preserve">-100. </w:t>
      </w:r>
    </w:p>
    <w:p w:rsidR="00CC2F0B" w:rsidRPr="00A019F6" w:rsidRDefault="00CC2F0B" w:rsidP="00CC2F0B">
      <w:pPr>
        <w:pStyle w:val="a7"/>
        <w:numPr>
          <w:ilvl w:val="0"/>
          <w:numId w:val="6"/>
        </w:numPr>
        <w:rPr>
          <w:shd w:val="clear" w:color="auto" w:fill="FFFFFF"/>
          <w:lang w:val="en-US"/>
        </w:rPr>
      </w:pPr>
      <w:r w:rsidRPr="00A019F6">
        <w:rPr>
          <w:lang w:val="en-US"/>
        </w:rPr>
        <w:lastRenderedPageBreak/>
        <w:t>Jondeau G., Detaint D., Tubach F. et al. Aortic event rate in the Marfan population: a cohort study</w:t>
      </w:r>
      <w:r w:rsidRPr="00A019F6">
        <w:rPr>
          <w:shd w:val="clear" w:color="auto" w:fill="FFFFFF"/>
          <w:lang w:val="en-US"/>
        </w:rPr>
        <w:t>. </w:t>
      </w:r>
      <w:r w:rsidRPr="00A019F6">
        <w:rPr>
          <w:lang w:val="en-US"/>
        </w:rPr>
        <w:t xml:space="preserve">// </w:t>
      </w:r>
      <w:r w:rsidRPr="00A019F6">
        <w:rPr>
          <w:iCs/>
          <w:lang w:val="en-US"/>
        </w:rPr>
        <w:t>Circulation</w:t>
      </w:r>
      <w:r w:rsidRPr="00A019F6">
        <w:rPr>
          <w:lang w:val="en-US"/>
        </w:rPr>
        <w:t>. – 2012</w:t>
      </w:r>
      <w:r w:rsidRPr="00A019F6">
        <w:rPr>
          <w:shd w:val="clear" w:color="auto" w:fill="FFFFFF"/>
          <w:lang w:val="en-US"/>
        </w:rPr>
        <w:t xml:space="preserve">. </w:t>
      </w:r>
      <w:r w:rsidRPr="00A019F6">
        <w:rPr>
          <w:lang w:val="en-US"/>
        </w:rPr>
        <w:t>– Vol.  125</w:t>
      </w:r>
      <w:r w:rsidRPr="00A019F6">
        <w:rPr>
          <w:shd w:val="clear" w:color="auto" w:fill="FFFFFF"/>
          <w:lang w:val="en-US"/>
        </w:rPr>
        <w:t xml:space="preserve">. – </w:t>
      </w:r>
      <w:r w:rsidRPr="00A019F6">
        <w:rPr>
          <w:shd w:val="clear" w:color="auto" w:fill="FFFFFF"/>
        </w:rPr>
        <w:t>Р</w:t>
      </w:r>
      <w:r w:rsidRPr="00A019F6">
        <w:rPr>
          <w:shd w:val="clear" w:color="auto" w:fill="FFFFFF"/>
          <w:lang w:val="en-US"/>
        </w:rPr>
        <w:t>.</w:t>
      </w:r>
      <w:r w:rsidRPr="00A019F6">
        <w:rPr>
          <w:lang w:val="en-US"/>
        </w:rPr>
        <w:t xml:space="preserve"> 226</w:t>
      </w:r>
      <w:r w:rsidRPr="00A019F6">
        <w:rPr>
          <w:shd w:val="clear" w:color="auto" w:fill="FFFFFF"/>
          <w:lang w:val="en-US"/>
        </w:rPr>
        <w:t>–</w:t>
      </w:r>
      <w:r w:rsidRPr="00A019F6">
        <w:rPr>
          <w:lang w:val="en-US"/>
        </w:rPr>
        <w:t>232</w:t>
      </w:r>
      <w:r w:rsidRPr="00A019F6">
        <w:rPr>
          <w:shd w:val="clear" w:color="auto" w:fill="FFFFFF"/>
          <w:lang w:val="en-US"/>
        </w:rPr>
        <w:t>.</w:t>
      </w:r>
    </w:p>
    <w:p w:rsidR="00CC2F0B" w:rsidRPr="00A019F6" w:rsidRDefault="00CC2F0B" w:rsidP="00CC2F0B">
      <w:pPr>
        <w:pStyle w:val="a7"/>
        <w:numPr>
          <w:ilvl w:val="0"/>
          <w:numId w:val="6"/>
        </w:numPr>
        <w:rPr>
          <w:lang w:val="en-US"/>
        </w:rPr>
      </w:pPr>
      <w:r w:rsidRPr="00A019F6">
        <w:rPr>
          <w:lang w:val="en-US"/>
        </w:rPr>
        <w:t>Jondeau G., Ropers J., Regalado E. et al. International Registry of Patients Carrying TGFBR1 or TGFBR2 Mutations: results of the MAC (Montalcino Aortic Consortium)</w:t>
      </w:r>
      <w:r w:rsidRPr="00A019F6">
        <w:rPr>
          <w:shd w:val="clear" w:color="auto" w:fill="FFFFFF"/>
          <w:lang w:val="en-US"/>
        </w:rPr>
        <w:t>. </w:t>
      </w:r>
      <w:r w:rsidRPr="00A019F6">
        <w:rPr>
          <w:lang w:val="en-US"/>
        </w:rPr>
        <w:t xml:space="preserve">// </w:t>
      </w:r>
      <w:r w:rsidRPr="00A019F6">
        <w:rPr>
          <w:iCs/>
          <w:lang w:val="en-US"/>
        </w:rPr>
        <w:t>Circ Cardiovasc Genet</w:t>
      </w:r>
      <w:r w:rsidRPr="00A019F6">
        <w:rPr>
          <w:lang w:val="en-US"/>
        </w:rPr>
        <w:t>. – 2016</w:t>
      </w:r>
      <w:r w:rsidRPr="00A019F6">
        <w:rPr>
          <w:shd w:val="clear" w:color="auto" w:fill="FFFFFF"/>
          <w:lang w:val="en-US"/>
        </w:rPr>
        <w:t xml:space="preserve">. </w:t>
      </w:r>
      <w:r w:rsidRPr="00A019F6">
        <w:rPr>
          <w:lang w:val="en-US"/>
        </w:rPr>
        <w:t>– Vol. 9</w:t>
      </w:r>
      <w:r w:rsidRPr="00A019F6">
        <w:rPr>
          <w:shd w:val="clear" w:color="auto" w:fill="FFFFFF"/>
          <w:lang w:val="en-US"/>
        </w:rPr>
        <w:t xml:space="preserve">. – </w:t>
      </w:r>
      <w:proofErr w:type="gramStart"/>
      <w:r w:rsidRPr="00A019F6">
        <w:rPr>
          <w:shd w:val="clear" w:color="auto" w:fill="FFFFFF"/>
        </w:rPr>
        <w:t>Р</w:t>
      </w:r>
      <w:r w:rsidRPr="00A019F6">
        <w:rPr>
          <w:shd w:val="clear" w:color="auto" w:fill="FFFFFF"/>
          <w:lang w:val="en-US"/>
        </w:rPr>
        <w:t>.</w:t>
      </w:r>
      <w:r w:rsidRPr="00A019F6">
        <w:rPr>
          <w:lang w:val="en-US"/>
        </w:rPr>
        <w:t xml:space="preserve"> 548</w:t>
      </w:r>
      <w:proofErr w:type="gramEnd"/>
      <w:r w:rsidRPr="00A019F6">
        <w:rPr>
          <w:shd w:val="clear" w:color="auto" w:fill="FFFFFF"/>
          <w:lang w:val="en-US"/>
        </w:rPr>
        <w:t>–</w:t>
      </w:r>
      <w:r w:rsidRPr="00A019F6">
        <w:rPr>
          <w:lang w:val="en-US"/>
        </w:rPr>
        <w:t>558</w:t>
      </w:r>
      <w:r w:rsidRPr="00A019F6">
        <w:rPr>
          <w:rFonts w:ascii="Arial" w:eastAsia="Times New Roman" w:hAnsi="Arial" w:cs="Arial"/>
          <w:color w:val="2A2A2A"/>
          <w:sz w:val="26"/>
          <w:szCs w:val="26"/>
          <w:shd w:val="clear" w:color="auto" w:fill="FFFFFF"/>
          <w:lang w:val="en-US"/>
        </w:rPr>
        <w:t>.</w:t>
      </w:r>
    </w:p>
    <w:p w:rsidR="00CC2F0B" w:rsidRPr="00A019F6" w:rsidRDefault="00CC2F0B" w:rsidP="00CC2F0B">
      <w:pPr>
        <w:pStyle w:val="a7"/>
        <w:numPr>
          <w:ilvl w:val="0"/>
          <w:numId w:val="6"/>
        </w:numPr>
        <w:rPr>
          <w:lang w:val="en-US"/>
        </w:rPr>
      </w:pPr>
      <w:r w:rsidRPr="00A019F6">
        <w:rPr>
          <w:lang w:val="en-US"/>
        </w:rPr>
        <w:t>Khatri P.J., Webb J.G., Rodes-Cabau J., et al. Adverse effects associated with transcatheter aortic valve implantation: a meta-analysis of contemporary studies. // Ann Intern Med. – 2013. – Vol. 1. – 58. – P.35-46</w:t>
      </w:r>
    </w:p>
    <w:p w:rsidR="00CC2F0B" w:rsidRPr="00A019F6" w:rsidRDefault="00CC2F0B" w:rsidP="00CC2F0B">
      <w:pPr>
        <w:pStyle w:val="a7"/>
        <w:numPr>
          <w:ilvl w:val="0"/>
          <w:numId w:val="6"/>
        </w:numPr>
        <w:rPr>
          <w:lang w:val="en-US"/>
        </w:rPr>
      </w:pPr>
      <w:r w:rsidRPr="00A019F6">
        <w:rPr>
          <w:lang w:val="en-US"/>
        </w:rPr>
        <w:t>Kulik A., Burwash I.G., Kapila V. et al. Long-term outcomes after valve replacement for low-gradient aortic stenosis: impact of prosthesis-patient mismatch // Circulation. – 2006. – Vol. 114 (1). – Р. I553-8.</w:t>
      </w:r>
    </w:p>
    <w:p w:rsidR="00CC2F0B" w:rsidRPr="00A019F6" w:rsidRDefault="00CC2F0B" w:rsidP="00CC2F0B">
      <w:pPr>
        <w:pStyle w:val="a7"/>
        <w:numPr>
          <w:ilvl w:val="0"/>
          <w:numId w:val="6"/>
        </w:numPr>
        <w:rPr>
          <w:rFonts w:ascii="REG" w:hAnsi="REG"/>
          <w:sz w:val="23"/>
          <w:szCs w:val="23"/>
          <w:lang w:val="en-US"/>
        </w:rPr>
      </w:pPr>
      <w:r w:rsidRPr="00A019F6">
        <w:rPr>
          <w:lang w:val="en-US"/>
        </w:rPr>
        <w:t xml:space="preserve">Lamb H.J., Beyerbacht H.P, de Roos A. et al. Left ventricular remodeling early after aortic valve replacement: differential effects on diastolic function in aortic valve stenosis and aortic regurgitation // J Am Coll Cardiol. – 2002. – Vol. 40 (12). – </w:t>
      </w:r>
      <w:r>
        <w:t>Р</w:t>
      </w:r>
      <w:r w:rsidRPr="00A019F6">
        <w:rPr>
          <w:lang w:val="en-US"/>
        </w:rPr>
        <w:t>. 2182-8.</w:t>
      </w:r>
      <w:r w:rsidRPr="00A019F6">
        <w:rPr>
          <w:rFonts w:ascii="REG" w:hAnsi="REG"/>
          <w:sz w:val="23"/>
          <w:szCs w:val="23"/>
          <w:lang w:val="en-US"/>
        </w:rPr>
        <w:t> </w:t>
      </w:r>
    </w:p>
    <w:p w:rsidR="00CC2F0B" w:rsidRPr="00A019F6" w:rsidRDefault="00CC2F0B" w:rsidP="00CC2F0B">
      <w:pPr>
        <w:pStyle w:val="a7"/>
        <w:numPr>
          <w:ilvl w:val="0"/>
          <w:numId w:val="6"/>
        </w:numPr>
        <w:rPr>
          <w:shd w:val="clear" w:color="auto" w:fill="FFFFFF"/>
          <w:lang w:val="en-US"/>
        </w:rPr>
      </w:pPr>
      <w:r w:rsidRPr="00A019F6">
        <w:rPr>
          <w:lang w:val="en-US"/>
        </w:rPr>
        <w:t>Lancellotti P., Tribouilloy C., Hagendorff A., European Association of Echocardiography et al</w:t>
      </w:r>
      <w:r w:rsidRPr="00A019F6">
        <w:rPr>
          <w:shd w:val="clear" w:color="auto" w:fill="FFFFFF"/>
          <w:lang w:val="en-US"/>
        </w:rPr>
        <w:t>.</w:t>
      </w:r>
      <w:r w:rsidRPr="00A019F6">
        <w:rPr>
          <w:sz w:val="24"/>
          <w:szCs w:val="24"/>
          <w:lang w:val="en-US"/>
        </w:rPr>
        <w:t xml:space="preserve"> </w:t>
      </w:r>
      <w:r w:rsidRPr="00A019F6">
        <w:rPr>
          <w:lang w:val="en-US"/>
        </w:rPr>
        <w:t>European Association of Echocardiography recommendations for the assessment of valvular regurgitation. Part 1: aortic and pulmonary regurgitation (native valve disease)</w:t>
      </w:r>
      <w:r w:rsidRPr="00A019F6">
        <w:rPr>
          <w:shd w:val="clear" w:color="auto" w:fill="FFFFFF"/>
          <w:lang w:val="en-US"/>
        </w:rPr>
        <w:t>. </w:t>
      </w:r>
      <w:r w:rsidRPr="00A019F6">
        <w:rPr>
          <w:sz w:val="24"/>
          <w:szCs w:val="24"/>
          <w:lang w:val="en-US"/>
        </w:rPr>
        <w:t xml:space="preserve">// </w:t>
      </w:r>
      <w:r w:rsidRPr="00A019F6">
        <w:rPr>
          <w:lang w:val="en-US"/>
        </w:rPr>
        <w:t>Eur J Echocardiogr</w:t>
      </w:r>
      <w:r w:rsidRPr="00A019F6">
        <w:rPr>
          <w:sz w:val="24"/>
          <w:szCs w:val="24"/>
          <w:lang w:val="en-US"/>
        </w:rPr>
        <w:t xml:space="preserve">. </w:t>
      </w:r>
      <w:proofErr w:type="gramStart"/>
      <w:r w:rsidRPr="00A019F6">
        <w:rPr>
          <w:sz w:val="24"/>
          <w:szCs w:val="24"/>
          <w:lang w:val="en-US"/>
        </w:rPr>
        <w:t xml:space="preserve">–  </w:t>
      </w:r>
      <w:r w:rsidRPr="00A019F6">
        <w:rPr>
          <w:lang w:val="en-US"/>
        </w:rPr>
        <w:t>2010</w:t>
      </w:r>
      <w:proofErr w:type="gramEnd"/>
      <w:r w:rsidRPr="00A019F6">
        <w:rPr>
          <w:shd w:val="clear" w:color="auto" w:fill="FFFFFF"/>
          <w:lang w:val="en-US"/>
        </w:rPr>
        <w:t xml:space="preserve">. </w:t>
      </w:r>
      <w:r w:rsidRPr="00A019F6">
        <w:rPr>
          <w:lang w:val="en-US"/>
        </w:rPr>
        <w:t xml:space="preserve">– Vol. </w:t>
      </w:r>
      <w:r w:rsidRPr="00A019F6">
        <w:rPr>
          <w:sz w:val="24"/>
          <w:szCs w:val="24"/>
          <w:lang w:val="en-US"/>
        </w:rPr>
        <w:t xml:space="preserve"> </w:t>
      </w:r>
      <w:r w:rsidRPr="00A019F6">
        <w:rPr>
          <w:lang w:val="en-US"/>
        </w:rPr>
        <w:t>11</w:t>
      </w:r>
      <w:r w:rsidRPr="00A019F6">
        <w:rPr>
          <w:shd w:val="clear" w:color="auto" w:fill="FFFFFF"/>
          <w:lang w:val="en-US"/>
        </w:rPr>
        <w:t xml:space="preserve">. – </w:t>
      </w:r>
      <w:r w:rsidRPr="00A019F6">
        <w:rPr>
          <w:shd w:val="clear" w:color="auto" w:fill="FFFFFF"/>
        </w:rPr>
        <w:t>Р</w:t>
      </w:r>
      <w:r w:rsidRPr="00A019F6">
        <w:rPr>
          <w:shd w:val="clear" w:color="auto" w:fill="FFFFFF"/>
          <w:lang w:val="en-US"/>
        </w:rPr>
        <w:t xml:space="preserve">. </w:t>
      </w:r>
      <w:r w:rsidRPr="00A019F6">
        <w:rPr>
          <w:sz w:val="24"/>
          <w:szCs w:val="24"/>
          <w:lang w:val="en-US"/>
        </w:rPr>
        <w:t xml:space="preserve"> </w:t>
      </w:r>
      <w:r w:rsidRPr="00A019F6">
        <w:rPr>
          <w:lang w:val="en-US"/>
        </w:rPr>
        <w:t>223</w:t>
      </w:r>
      <w:r w:rsidRPr="00A019F6">
        <w:rPr>
          <w:shd w:val="clear" w:color="auto" w:fill="FFFFFF"/>
          <w:lang w:val="en-US"/>
        </w:rPr>
        <w:t>–</w:t>
      </w:r>
      <w:r w:rsidRPr="00A019F6">
        <w:rPr>
          <w:lang w:val="en-US"/>
        </w:rPr>
        <w:t>244</w:t>
      </w:r>
      <w:r w:rsidRPr="00A019F6">
        <w:rPr>
          <w:shd w:val="clear" w:color="auto" w:fill="FFFFFF"/>
          <w:lang w:val="en-US"/>
        </w:rPr>
        <w:t>.</w:t>
      </w:r>
    </w:p>
    <w:p w:rsidR="00CC2F0B" w:rsidRPr="00A019F6" w:rsidRDefault="00CC2F0B" w:rsidP="00CC2F0B">
      <w:pPr>
        <w:pStyle w:val="a7"/>
        <w:numPr>
          <w:ilvl w:val="0"/>
          <w:numId w:val="6"/>
        </w:numPr>
        <w:rPr>
          <w:rFonts w:ascii="inherit" w:eastAsia="Times New Roman" w:hAnsi="inherit" w:cs="Arial"/>
          <w:color w:val="2A2A2A"/>
          <w:sz w:val="26"/>
          <w:szCs w:val="26"/>
          <w:lang w:val="en-US"/>
        </w:rPr>
      </w:pPr>
      <w:r w:rsidRPr="00A019F6">
        <w:rPr>
          <w:lang w:val="en-US"/>
        </w:rPr>
        <w:t xml:space="preserve">Lansac E., Di Centa I., Raoux F. et al. A lesional classification to standardize surgical management of aortic insufficiency towards valve repair. // Eur J Cardiothorac Surg. – 2008. – Vol.  33. – </w:t>
      </w:r>
      <w:r>
        <w:t>Р</w:t>
      </w:r>
      <w:r w:rsidRPr="00A019F6">
        <w:rPr>
          <w:lang w:val="en-US"/>
        </w:rPr>
        <w:t>. 872–878</w:t>
      </w:r>
      <w:r w:rsidRPr="00A019F6">
        <w:rPr>
          <w:rFonts w:ascii="inherit" w:eastAsia="Times New Roman" w:hAnsi="inherit" w:cs="Arial"/>
          <w:color w:val="2A2A2A"/>
          <w:sz w:val="26"/>
          <w:szCs w:val="26"/>
          <w:lang w:val="en-US"/>
        </w:rPr>
        <w:t>.</w:t>
      </w:r>
    </w:p>
    <w:p w:rsidR="00CC2F0B" w:rsidRPr="00A019F6" w:rsidRDefault="00CC2F0B" w:rsidP="00CC2F0B">
      <w:pPr>
        <w:pStyle w:val="a7"/>
        <w:numPr>
          <w:ilvl w:val="0"/>
          <w:numId w:val="6"/>
        </w:numPr>
        <w:rPr>
          <w:rFonts w:ascii="inherit" w:eastAsia="Times New Roman" w:hAnsi="inherit" w:cs="Arial"/>
          <w:color w:val="2A2A2A"/>
          <w:sz w:val="26"/>
          <w:szCs w:val="26"/>
          <w:lang w:val="en-US"/>
        </w:rPr>
      </w:pPr>
      <w:r w:rsidRPr="00A019F6">
        <w:rPr>
          <w:lang w:val="en-US"/>
        </w:rPr>
        <w:t xml:space="preserve">Lansac E., Di Centa I., Sleilaty G. Long-term results of external aortic ring annuloplasty for aortic valve repair. // Eur J Cardiothorac Surg. – 2016. – Vol.  50. – </w:t>
      </w:r>
      <w:r>
        <w:t>Р</w:t>
      </w:r>
      <w:r w:rsidRPr="00A019F6">
        <w:rPr>
          <w:lang w:val="en-US"/>
        </w:rPr>
        <w:t>. 350–360</w:t>
      </w:r>
      <w:r w:rsidRPr="00A019F6">
        <w:rPr>
          <w:rFonts w:ascii="inherit" w:eastAsia="Times New Roman" w:hAnsi="inherit" w:cs="Arial"/>
          <w:color w:val="2A2A2A"/>
          <w:sz w:val="26"/>
          <w:szCs w:val="26"/>
          <w:lang w:val="en-US"/>
        </w:rPr>
        <w:t>.</w:t>
      </w:r>
    </w:p>
    <w:p w:rsidR="00CC2F0B" w:rsidRPr="00A019F6" w:rsidRDefault="00CC2F0B" w:rsidP="00CC2F0B">
      <w:pPr>
        <w:pStyle w:val="a7"/>
        <w:numPr>
          <w:ilvl w:val="0"/>
          <w:numId w:val="6"/>
        </w:numPr>
        <w:rPr>
          <w:lang w:val="en-US"/>
        </w:rPr>
      </w:pPr>
      <w:r w:rsidRPr="00A019F6">
        <w:rPr>
          <w:lang w:val="en-US"/>
        </w:rPr>
        <w:t xml:space="preserve">Latsios G., Gerckens U., Grube E. Transaortic transcatheter aortic valve implantation: A novel approach for the truly «no-access option» patients. // Cathet Cardiovasc Intervent. </w:t>
      </w:r>
      <w:proofErr w:type="gramStart"/>
      <w:r w:rsidRPr="00A019F6">
        <w:rPr>
          <w:lang w:val="en-US"/>
        </w:rPr>
        <w:t>–  2010</w:t>
      </w:r>
      <w:proofErr w:type="gramEnd"/>
      <w:r w:rsidRPr="00A019F6">
        <w:rPr>
          <w:lang w:val="en-US"/>
        </w:rPr>
        <w:t xml:space="preserve">. – Vol. 75. – </w:t>
      </w:r>
      <w:proofErr w:type="gramStart"/>
      <w:r>
        <w:t>Р</w:t>
      </w:r>
      <w:r w:rsidRPr="00A019F6">
        <w:rPr>
          <w:lang w:val="en-US"/>
        </w:rPr>
        <w:t>. 1129</w:t>
      </w:r>
      <w:proofErr w:type="gramEnd"/>
      <w:r w:rsidRPr="00A019F6">
        <w:rPr>
          <w:lang w:val="en-US"/>
        </w:rPr>
        <w:t xml:space="preserve">–1136. </w:t>
      </w:r>
    </w:p>
    <w:p w:rsidR="00CC2F0B" w:rsidRPr="00A019F6" w:rsidRDefault="00CC2F0B" w:rsidP="00CC2F0B">
      <w:pPr>
        <w:pStyle w:val="a7"/>
        <w:numPr>
          <w:ilvl w:val="0"/>
          <w:numId w:val="6"/>
        </w:numPr>
        <w:rPr>
          <w:shd w:val="clear" w:color="auto" w:fill="FFFFFF"/>
          <w:lang w:val="en-US"/>
        </w:rPr>
      </w:pPr>
      <w:proofErr w:type="gramStart"/>
      <w:r w:rsidRPr="00A019F6">
        <w:rPr>
          <w:lang w:val="en-US"/>
        </w:rPr>
        <w:lastRenderedPageBreak/>
        <w:t>le</w:t>
      </w:r>
      <w:proofErr w:type="gramEnd"/>
      <w:r w:rsidRPr="00A019F6">
        <w:rPr>
          <w:lang w:val="en-US"/>
        </w:rPr>
        <w:t xml:space="preserve"> Polain de Waroux</w:t>
      </w:r>
      <w:r w:rsidRPr="00A019F6">
        <w:rPr>
          <w:shd w:val="clear" w:color="auto" w:fill="FFFFFF"/>
          <w:lang w:val="en-US"/>
        </w:rPr>
        <w:t xml:space="preserve"> </w:t>
      </w:r>
      <w:r w:rsidRPr="00A019F6">
        <w:rPr>
          <w:lang w:val="en-US"/>
        </w:rPr>
        <w:t>J.B., Pouleur</w:t>
      </w:r>
      <w:r w:rsidRPr="00A019F6">
        <w:rPr>
          <w:shd w:val="clear" w:color="auto" w:fill="FFFFFF"/>
          <w:lang w:val="en-US"/>
        </w:rPr>
        <w:t xml:space="preserve"> </w:t>
      </w:r>
      <w:r w:rsidRPr="00A019F6">
        <w:rPr>
          <w:lang w:val="en-US"/>
        </w:rPr>
        <w:t>A.C., </w:t>
      </w:r>
      <w:r w:rsidRPr="00A019F6">
        <w:rPr>
          <w:shd w:val="clear" w:color="auto" w:fill="FFFFFF"/>
          <w:lang w:val="en-US"/>
        </w:rPr>
        <w:t xml:space="preserve"> </w:t>
      </w:r>
      <w:r w:rsidRPr="00A019F6">
        <w:rPr>
          <w:lang w:val="en-US"/>
        </w:rPr>
        <w:t>Goffinet</w:t>
      </w:r>
      <w:r w:rsidRPr="00A019F6">
        <w:rPr>
          <w:shd w:val="clear" w:color="auto" w:fill="FFFFFF"/>
          <w:lang w:val="en-US"/>
        </w:rPr>
        <w:t xml:space="preserve"> </w:t>
      </w:r>
      <w:r w:rsidRPr="00A019F6">
        <w:rPr>
          <w:lang w:val="en-US"/>
        </w:rPr>
        <w:t>C. et al.</w:t>
      </w:r>
      <w:r w:rsidRPr="00A019F6">
        <w:rPr>
          <w:shd w:val="clear" w:color="auto" w:fill="FFFFFF"/>
          <w:lang w:val="en-US"/>
        </w:rPr>
        <w:t xml:space="preserve"> </w:t>
      </w:r>
      <w:r w:rsidRPr="00A019F6">
        <w:rPr>
          <w:lang w:val="en-US"/>
        </w:rPr>
        <w:t>Functional anatomy of aortic regurgitation: accuracy, prediction of surgical repairability, and outcome implications of transesophageal echocardiography. // Circulation</w:t>
      </w:r>
      <w:r w:rsidRPr="00A019F6">
        <w:rPr>
          <w:shd w:val="clear" w:color="auto" w:fill="FFFFFF"/>
          <w:lang w:val="en-US"/>
        </w:rPr>
        <w:t xml:space="preserve">. – </w:t>
      </w:r>
      <w:r w:rsidRPr="00A019F6">
        <w:rPr>
          <w:lang w:val="en-US"/>
        </w:rPr>
        <w:t xml:space="preserve">2007. – Vol. </w:t>
      </w:r>
      <w:r w:rsidRPr="00A019F6">
        <w:rPr>
          <w:shd w:val="clear" w:color="auto" w:fill="FFFFFF"/>
          <w:lang w:val="en-US"/>
        </w:rPr>
        <w:t xml:space="preserve"> </w:t>
      </w:r>
      <w:r w:rsidRPr="00A019F6">
        <w:rPr>
          <w:lang w:val="en-US"/>
        </w:rPr>
        <w:t xml:space="preserve">116. – </w:t>
      </w:r>
      <w:r>
        <w:t>Р</w:t>
      </w:r>
      <w:r w:rsidRPr="00A019F6">
        <w:rPr>
          <w:lang w:val="en-US"/>
        </w:rPr>
        <w:t>.</w:t>
      </w:r>
      <w:r w:rsidRPr="00A019F6">
        <w:rPr>
          <w:shd w:val="clear" w:color="auto" w:fill="FFFFFF"/>
          <w:lang w:val="en-US"/>
        </w:rPr>
        <w:t xml:space="preserve"> </w:t>
      </w:r>
      <w:r w:rsidRPr="00A019F6">
        <w:rPr>
          <w:lang w:val="en-US"/>
        </w:rPr>
        <w:t>I264–269.</w:t>
      </w:r>
    </w:p>
    <w:p w:rsidR="00CC2F0B" w:rsidRPr="00A019F6" w:rsidRDefault="00CC2F0B" w:rsidP="00CC2F0B">
      <w:pPr>
        <w:pStyle w:val="a7"/>
        <w:numPr>
          <w:ilvl w:val="0"/>
          <w:numId w:val="6"/>
        </w:numPr>
        <w:rPr>
          <w:lang w:val="en-US"/>
        </w:rPr>
      </w:pPr>
      <w:r w:rsidRPr="00A019F6">
        <w:rPr>
          <w:lang w:val="en-US"/>
        </w:rPr>
        <w:t xml:space="preserve">Leon M.B., Smith C.R., Mack M. et al., PARTNER Trial Investigators. Transcatheter aortic-valve implantation for aortic stenosis in patients who cannot undergosurgery. // N. Engl. J. Med. – 2010– Vol.   363. – </w:t>
      </w:r>
      <w:r>
        <w:t>Р</w:t>
      </w:r>
      <w:r w:rsidRPr="00A019F6">
        <w:rPr>
          <w:lang w:val="en-US"/>
        </w:rPr>
        <w:t>.1597–1607.</w:t>
      </w:r>
    </w:p>
    <w:p w:rsidR="00CC2F0B" w:rsidRPr="00A019F6" w:rsidRDefault="00CC2F0B" w:rsidP="00CC2F0B">
      <w:pPr>
        <w:pStyle w:val="a7"/>
        <w:numPr>
          <w:ilvl w:val="0"/>
          <w:numId w:val="6"/>
        </w:numPr>
        <w:rPr>
          <w:lang w:val="en-US"/>
        </w:rPr>
      </w:pPr>
      <w:r w:rsidRPr="00A019F6">
        <w:rPr>
          <w:lang w:val="en-US"/>
        </w:rPr>
        <w:t xml:space="preserve">Lichtenstein S.V., Cheung A, Ye J. et al. Transapical transcatheter aortic valve implantation in humans: initial clinical experience. // Circulation. – 2006. – Vol. 114. – </w:t>
      </w:r>
      <w:r>
        <w:t>Р</w:t>
      </w:r>
      <w:r w:rsidRPr="00A019F6">
        <w:rPr>
          <w:lang w:val="en-US"/>
        </w:rPr>
        <w:t>. 591-596</w:t>
      </w:r>
    </w:p>
    <w:p w:rsidR="00CC2F0B" w:rsidRPr="00A019F6" w:rsidRDefault="00CC2F0B" w:rsidP="00CC2F0B">
      <w:pPr>
        <w:pStyle w:val="a7"/>
        <w:numPr>
          <w:ilvl w:val="0"/>
          <w:numId w:val="6"/>
        </w:numPr>
        <w:rPr>
          <w:lang w:val="en-US"/>
        </w:rPr>
      </w:pPr>
      <w:r w:rsidRPr="00A019F6">
        <w:rPr>
          <w:lang w:val="en-US"/>
        </w:rPr>
        <w:t xml:space="preserve">Liu Z, He R, Wu C, et al. Transfemoral versus transapical aortic implantation for aortic stenosis based on no significant difference in logistic EuroSCORE: a meta-analysis. // Thorac Cardiovasc Surg. </w:t>
      </w:r>
      <w:proofErr w:type="gramStart"/>
      <w:r w:rsidRPr="00A019F6">
        <w:rPr>
          <w:lang w:val="en-US"/>
        </w:rPr>
        <w:t>–  2016</w:t>
      </w:r>
      <w:proofErr w:type="gramEnd"/>
      <w:r w:rsidRPr="00A019F6">
        <w:rPr>
          <w:lang w:val="en-US"/>
        </w:rPr>
        <w:t xml:space="preserve">. – Vol. 64. – </w:t>
      </w:r>
      <w:r>
        <w:t>Р</w:t>
      </w:r>
      <w:r w:rsidRPr="00A019F6">
        <w:rPr>
          <w:lang w:val="en-US"/>
        </w:rPr>
        <w:t>. 374-81</w:t>
      </w:r>
    </w:p>
    <w:p w:rsidR="00CC2F0B" w:rsidRPr="00A019F6" w:rsidRDefault="00CC2F0B" w:rsidP="00CC2F0B">
      <w:pPr>
        <w:pStyle w:val="a7"/>
        <w:numPr>
          <w:ilvl w:val="0"/>
          <w:numId w:val="6"/>
        </w:numPr>
        <w:rPr>
          <w:lang w:val="en-US"/>
        </w:rPr>
      </w:pPr>
      <w:r w:rsidRPr="00A019F6">
        <w:rPr>
          <w:lang w:val="en-US"/>
        </w:rPr>
        <w:t xml:space="preserve">Lunardi M., Pesarini G., Zivelonghi C. et al. Clinical outcomes of transcatheter aortic valve implantation: from learning curve to proficiency. // Open Heart. – 2016. – Vol.   3 (2). </w:t>
      </w:r>
      <w:proofErr w:type="gramStart"/>
      <w:r w:rsidRPr="00A019F6">
        <w:rPr>
          <w:lang w:val="en-US"/>
        </w:rPr>
        <w:t>–  e000420</w:t>
      </w:r>
      <w:proofErr w:type="gramEnd"/>
      <w:r w:rsidRPr="00A019F6">
        <w:rPr>
          <w:lang w:val="en-US"/>
        </w:rPr>
        <w:t xml:space="preserve">. </w:t>
      </w:r>
    </w:p>
    <w:p w:rsidR="00CC2F0B" w:rsidRPr="00A019F6" w:rsidRDefault="00CC2F0B" w:rsidP="00CC2F0B">
      <w:pPr>
        <w:pStyle w:val="a7"/>
        <w:numPr>
          <w:ilvl w:val="0"/>
          <w:numId w:val="6"/>
        </w:numPr>
        <w:rPr>
          <w:lang w:val="en-US"/>
        </w:rPr>
      </w:pPr>
      <w:r w:rsidRPr="00A019F6">
        <w:rPr>
          <w:lang w:val="en-US"/>
        </w:rPr>
        <w:t xml:space="preserve">Lund O., Erlandsen M. Changes in left ventricular function and mass during serial investigations after valve replacement for aortic stenosis // J Heart Valve Dis. – 2000.  – Vol.  9 (4). – </w:t>
      </w:r>
      <w:r>
        <w:t>Р</w:t>
      </w:r>
      <w:r w:rsidRPr="00A019F6">
        <w:rPr>
          <w:lang w:val="en-US"/>
        </w:rPr>
        <w:t>. 583-93. </w:t>
      </w:r>
    </w:p>
    <w:p w:rsidR="00CC2F0B" w:rsidRPr="00A019F6" w:rsidRDefault="00CC2F0B" w:rsidP="00CC2F0B">
      <w:pPr>
        <w:pStyle w:val="a7"/>
        <w:numPr>
          <w:ilvl w:val="0"/>
          <w:numId w:val="6"/>
        </w:numPr>
        <w:rPr>
          <w:lang w:val="en-US"/>
        </w:rPr>
      </w:pPr>
      <w:r w:rsidRPr="00A019F6">
        <w:rPr>
          <w:lang w:val="en-US"/>
        </w:rPr>
        <w:t>Mack M.J., Holmes D.R., Webb J., et al. Patient selection for transcatheter aortic valve replacement. // J. Am. Coll. Cardiol. – 2013. – Vol.  62. – S1-10.</w:t>
      </w:r>
    </w:p>
    <w:p w:rsidR="00CC2F0B" w:rsidRPr="00A019F6" w:rsidRDefault="00CC2F0B" w:rsidP="00CC2F0B">
      <w:pPr>
        <w:pStyle w:val="a7"/>
        <w:numPr>
          <w:ilvl w:val="0"/>
          <w:numId w:val="6"/>
        </w:numPr>
        <w:rPr>
          <w:lang w:val="en-US"/>
        </w:rPr>
      </w:pPr>
      <w:r w:rsidRPr="00A019F6">
        <w:rPr>
          <w:lang w:val="en-US"/>
        </w:rPr>
        <w:t xml:space="preserve">Melby S.J., Zierer A., Kaiser S.P et al. Aortic valve replacement in octogenarians: risk factors for early and late mortality // Ann Thorac Surg. – 2007. </w:t>
      </w:r>
      <w:proofErr w:type="gramStart"/>
      <w:r w:rsidRPr="00A019F6">
        <w:rPr>
          <w:lang w:val="en-US"/>
        </w:rPr>
        <w:t>–  –</w:t>
      </w:r>
      <w:proofErr w:type="gramEnd"/>
      <w:r w:rsidRPr="00A019F6">
        <w:rPr>
          <w:lang w:val="en-US"/>
        </w:rPr>
        <w:t xml:space="preserve"> Vol. 83 (5). – </w:t>
      </w:r>
      <w:r>
        <w:t>Р</w:t>
      </w:r>
      <w:r w:rsidRPr="00A019F6">
        <w:rPr>
          <w:lang w:val="en-US"/>
        </w:rPr>
        <w:t>. 1651-6</w:t>
      </w:r>
    </w:p>
    <w:p w:rsidR="00CC2F0B" w:rsidRPr="00A019F6" w:rsidRDefault="00CC2F0B" w:rsidP="00CC2F0B">
      <w:pPr>
        <w:pStyle w:val="a7"/>
        <w:numPr>
          <w:ilvl w:val="0"/>
          <w:numId w:val="6"/>
        </w:numPr>
        <w:rPr>
          <w:lang w:val="en-US" w:eastAsia="ru-RU"/>
        </w:rPr>
      </w:pPr>
      <w:r w:rsidRPr="00A019F6">
        <w:rPr>
          <w:lang w:val="en-US" w:eastAsia="ru-RU"/>
        </w:rPr>
        <w:t xml:space="preserve">Meredith I.T. Australia - New Zealand CoreValve Transcatheter Aortic Valve Study. // Heart, Lung and Circulation. – 2012. </w:t>
      </w:r>
      <w:r w:rsidRPr="00A019F6">
        <w:rPr>
          <w:lang w:val="en-US"/>
        </w:rPr>
        <w:t xml:space="preserve">– Vol. </w:t>
      </w:r>
      <w:r w:rsidRPr="00A019F6">
        <w:rPr>
          <w:lang w:val="en-US" w:eastAsia="ru-RU"/>
        </w:rPr>
        <w:t xml:space="preserve"> 21 (12). </w:t>
      </w:r>
      <w:proofErr w:type="gramStart"/>
      <w:r w:rsidRPr="00A019F6">
        <w:rPr>
          <w:lang w:val="en-US" w:eastAsia="ru-RU"/>
        </w:rPr>
        <w:t>–  S263</w:t>
      </w:r>
      <w:proofErr w:type="gramEnd"/>
      <w:r w:rsidRPr="00A019F6">
        <w:rPr>
          <w:lang w:val="en-US" w:eastAsia="ru-RU"/>
        </w:rPr>
        <w:t>.</w:t>
      </w:r>
    </w:p>
    <w:p w:rsidR="00CC2F0B" w:rsidRPr="00A019F6" w:rsidRDefault="00CC2F0B" w:rsidP="00CC2F0B">
      <w:pPr>
        <w:pStyle w:val="a7"/>
        <w:numPr>
          <w:ilvl w:val="0"/>
          <w:numId w:val="6"/>
        </w:numPr>
        <w:rPr>
          <w:lang w:val="en-US"/>
        </w:rPr>
      </w:pPr>
      <w:r w:rsidRPr="00A019F6">
        <w:rPr>
          <w:lang w:val="en-US"/>
        </w:rPr>
        <w:t xml:space="preserve">Murakami T., Kikugawa D., Endou K. et al. Changes in patterns of left ventricular hypertrophy after aortic valve replacement for aortic stenosis and regurgitation with St. Jude Medical cardiac valves // Artif Organs. – 2000. – Vol. 24 (12). – </w:t>
      </w:r>
      <w:r>
        <w:t>Р</w:t>
      </w:r>
      <w:r w:rsidRPr="00A019F6">
        <w:rPr>
          <w:lang w:val="en-US"/>
        </w:rPr>
        <w:t>. 953-8. </w:t>
      </w:r>
    </w:p>
    <w:p w:rsidR="00CC2F0B" w:rsidRPr="00A019F6" w:rsidRDefault="00CC2F0B" w:rsidP="00CC2F0B">
      <w:pPr>
        <w:pStyle w:val="a7"/>
        <w:numPr>
          <w:ilvl w:val="0"/>
          <w:numId w:val="6"/>
        </w:numPr>
        <w:rPr>
          <w:lang w:val="en-US"/>
        </w:rPr>
      </w:pPr>
      <w:r w:rsidRPr="00A019F6">
        <w:rPr>
          <w:lang w:val="en-US"/>
        </w:rPr>
        <w:lastRenderedPageBreak/>
        <w:t xml:space="preserve">Nishimura R.A., Otto C.M., Bonow R.O. et al. 2017 AHA/ACC Focused Update of the 2014 AHA/ACC Guideline for the Management of Patients With Valvular Heart Disease: A Report of the American College of Cardiology/American Heart Association Task Force on Clinical Practice Guidelines. // J. Am. Coll. Cardiol. – 2017. – Vol.   70 (2). – </w:t>
      </w:r>
      <w:r>
        <w:t>Р</w:t>
      </w:r>
      <w:r w:rsidRPr="00A019F6">
        <w:rPr>
          <w:lang w:val="en-US"/>
        </w:rPr>
        <w:t>. 252–89</w:t>
      </w:r>
    </w:p>
    <w:p w:rsidR="00CC2F0B" w:rsidRPr="00A019F6" w:rsidRDefault="00CC2F0B" w:rsidP="00CC2F0B">
      <w:pPr>
        <w:pStyle w:val="a7"/>
        <w:numPr>
          <w:ilvl w:val="0"/>
          <w:numId w:val="6"/>
        </w:numPr>
        <w:rPr>
          <w:lang w:val="en-US"/>
        </w:rPr>
      </w:pPr>
      <w:r w:rsidRPr="00A019F6">
        <w:rPr>
          <w:lang w:val="en-US"/>
        </w:rPr>
        <w:t xml:space="preserve">Panchal H.B., Ladia V., Amin P., et al. A meta-analysis of mortality and major adverse cardiovascular and cerebrovascular events in patients undergoing transfemoral versus transapical transcatheter aortic valve implantation using </w:t>
      </w:r>
      <w:proofErr w:type="gramStart"/>
      <w:r w:rsidRPr="00A019F6">
        <w:rPr>
          <w:lang w:val="en-US"/>
        </w:rPr>
        <w:t>edwards</w:t>
      </w:r>
      <w:proofErr w:type="gramEnd"/>
      <w:r w:rsidRPr="00A019F6">
        <w:rPr>
          <w:lang w:val="en-US"/>
        </w:rPr>
        <w:t xml:space="preserve"> valve for severe aortic stenosis. // Am J Cardiol. – 2014. – Vol. 114(12). – P. 1882-90.</w:t>
      </w:r>
    </w:p>
    <w:p w:rsidR="00CC2F0B" w:rsidRPr="00A019F6" w:rsidRDefault="00CC2F0B" w:rsidP="00CC2F0B">
      <w:pPr>
        <w:pStyle w:val="a7"/>
        <w:numPr>
          <w:ilvl w:val="0"/>
          <w:numId w:val="6"/>
        </w:numPr>
        <w:rPr>
          <w:lang w:val="en-US"/>
        </w:rPr>
      </w:pPr>
      <w:r w:rsidRPr="00A019F6">
        <w:rPr>
          <w:lang w:val="en-US"/>
        </w:rPr>
        <w:t xml:space="preserve">Petronio A.S., De Carlo M., Bedogni F. et al. 2-year results of CoreValve implantation through the subclavian access: a propensity-matched comparison with the femoral access. // J. Am. Coll. Cardiol. – 2012. – Vol.  60 (6). – </w:t>
      </w:r>
      <w:proofErr w:type="gramStart"/>
      <w:r>
        <w:t>Р</w:t>
      </w:r>
      <w:r w:rsidRPr="00A019F6">
        <w:rPr>
          <w:lang w:val="en-US"/>
        </w:rPr>
        <w:t>. 502</w:t>
      </w:r>
      <w:proofErr w:type="gramEnd"/>
      <w:r w:rsidRPr="00A019F6">
        <w:rPr>
          <w:lang w:val="en-US"/>
        </w:rPr>
        <w:t>-507. </w:t>
      </w:r>
    </w:p>
    <w:p w:rsidR="00CC2F0B" w:rsidRPr="00A019F6" w:rsidRDefault="00CC2F0B" w:rsidP="00CC2F0B">
      <w:pPr>
        <w:pStyle w:val="a7"/>
        <w:numPr>
          <w:ilvl w:val="0"/>
          <w:numId w:val="6"/>
        </w:numPr>
        <w:rPr>
          <w:lang w:val="en-US"/>
        </w:rPr>
      </w:pPr>
      <w:r w:rsidRPr="00A019F6">
        <w:rPr>
          <w:lang w:val="en-US"/>
        </w:rPr>
        <w:t>Reardon M.J., Adams D.H., Kleiman N.S., et al. 2-Year Outcomes in Patients Undergoing Surgical or Self-Expanding Transcatheter Aortic Valve Replacement. // J Am Coll Cardiol. – 2015. – Vol.  66(2). – P.113-21</w:t>
      </w:r>
    </w:p>
    <w:p w:rsidR="00CC2F0B" w:rsidRPr="00A019F6" w:rsidRDefault="00CC2F0B" w:rsidP="00CC2F0B">
      <w:pPr>
        <w:pStyle w:val="a7"/>
        <w:numPr>
          <w:ilvl w:val="0"/>
          <w:numId w:val="6"/>
        </w:numPr>
        <w:rPr>
          <w:lang w:val="en-US"/>
        </w:rPr>
      </w:pPr>
      <w:r w:rsidRPr="00A019F6">
        <w:rPr>
          <w:lang w:val="en-US"/>
        </w:rPr>
        <w:t xml:space="preserve">Risteski PS., Martens S., Rouhollahpour A. et al. Prospective randomized evaluation of stentless vs. stented aortic biologic prosthetic valves in the elderly at five years // Interact Cardiovasc Thorac Surg. – 2009. – Vol.  8 (4). – </w:t>
      </w:r>
      <w:r>
        <w:t>Р</w:t>
      </w:r>
      <w:r w:rsidRPr="00A019F6">
        <w:rPr>
          <w:lang w:val="en-US"/>
        </w:rPr>
        <w:t>. 449-53.</w:t>
      </w:r>
    </w:p>
    <w:p w:rsidR="00CC2F0B" w:rsidRPr="00A019F6" w:rsidRDefault="00CC2F0B" w:rsidP="00CC2F0B">
      <w:pPr>
        <w:pStyle w:val="a7"/>
        <w:numPr>
          <w:ilvl w:val="0"/>
          <w:numId w:val="6"/>
        </w:numPr>
        <w:rPr>
          <w:lang w:val="en-US"/>
        </w:rPr>
      </w:pPr>
      <w:r w:rsidRPr="00A019F6">
        <w:rPr>
          <w:lang w:val="en-US"/>
        </w:rPr>
        <w:t xml:space="preserve">Roy D.A., Schaefer U., Guetta V. et al. Transcatheter aortic valve implantation for pure severe native aortic valve regurgitation. // J Am Coll Cardiol. – 2013.  – Vol. 61(15). – </w:t>
      </w:r>
      <w:proofErr w:type="gramStart"/>
      <w:r>
        <w:t>Р</w:t>
      </w:r>
      <w:r w:rsidRPr="00A019F6">
        <w:rPr>
          <w:lang w:val="en-US"/>
        </w:rPr>
        <w:t>. 1577</w:t>
      </w:r>
      <w:proofErr w:type="gramEnd"/>
      <w:r w:rsidRPr="00A019F6">
        <w:rPr>
          <w:lang w:val="en-US"/>
        </w:rPr>
        <w:t xml:space="preserve">-1584. </w:t>
      </w:r>
    </w:p>
    <w:p w:rsidR="00CC2F0B" w:rsidRPr="00A019F6" w:rsidRDefault="00CC2F0B" w:rsidP="00CC2F0B">
      <w:pPr>
        <w:pStyle w:val="a7"/>
        <w:numPr>
          <w:ilvl w:val="0"/>
          <w:numId w:val="6"/>
        </w:numPr>
        <w:rPr>
          <w:lang w:val="en-US"/>
        </w:rPr>
      </w:pPr>
      <w:r w:rsidRPr="00A019F6">
        <w:rPr>
          <w:lang w:val="en-US"/>
        </w:rPr>
        <w:t xml:space="preserve">Ruel M., Al-Faleh H., Kulik A. et al. Prosthesis-patient mismatch after aortic valve replacement predominantly affects patients with preexisting left ventricular dysfunction: effect on survival, freedom from heart failure, and left ventricular mass regression // J Thorac Cardiovasc Surg. – 2006. – Vol.  131 (5). – </w:t>
      </w:r>
      <w:r>
        <w:t>Р</w:t>
      </w:r>
      <w:r w:rsidRPr="00A019F6">
        <w:rPr>
          <w:lang w:val="en-US"/>
        </w:rPr>
        <w:t>. 1036-44.</w:t>
      </w:r>
    </w:p>
    <w:p w:rsidR="00CC2F0B" w:rsidRPr="00A019F6" w:rsidRDefault="00CC2F0B" w:rsidP="00CC2F0B">
      <w:pPr>
        <w:pStyle w:val="a7"/>
        <w:numPr>
          <w:ilvl w:val="0"/>
          <w:numId w:val="6"/>
        </w:numPr>
        <w:rPr>
          <w:sz w:val="23"/>
          <w:szCs w:val="23"/>
          <w:lang w:val="en-US"/>
        </w:rPr>
      </w:pPr>
      <w:r w:rsidRPr="00A019F6">
        <w:rPr>
          <w:lang w:val="en-US"/>
        </w:rPr>
        <w:lastRenderedPageBreak/>
        <w:t>Sambola</w:t>
      </w:r>
      <w:r w:rsidRPr="00A019F6">
        <w:rPr>
          <w:shd w:val="clear" w:color="auto" w:fill="FFFFFF"/>
          <w:lang w:val="en-US"/>
        </w:rPr>
        <w:t xml:space="preserve"> </w:t>
      </w:r>
      <w:r w:rsidRPr="00A019F6">
        <w:rPr>
          <w:lang w:val="en-US"/>
        </w:rPr>
        <w:t>A., Tornos</w:t>
      </w:r>
      <w:r w:rsidRPr="00A019F6">
        <w:rPr>
          <w:shd w:val="clear" w:color="auto" w:fill="FFFFFF"/>
          <w:lang w:val="en-US"/>
        </w:rPr>
        <w:t xml:space="preserve"> </w:t>
      </w:r>
      <w:r w:rsidRPr="00A019F6">
        <w:rPr>
          <w:lang w:val="en-US"/>
        </w:rPr>
        <w:t>P., Ferreira-Gonzalez</w:t>
      </w:r>
      <w:r w:rsidRPr="00A019F6">
        <w:rPr>
          <w:shd w:val="clear" w:color="auto" w:fill="FFFFFF"/>
          <w:lang w:val="en-US"/>
        </w:rPr>
        <w:t xml:space="preserve"> </w:t>
      </w:r>
      <w:r w:rsidRPr="00A019F6">
        <w:rPr>
          <w:lang w:val="en-US"/>
        </w:rPr>
        <w:t>I., Evangelista</w:t>
      </w:r>
      <w:r w:rsidRPr="00A019F6">
        <w:rPr>
          <w:shd w:val="clear" w:color="auto" w:fill="FFFFFF"/>
          <w:lang w:val="en-US"/>
        </w:rPr>
        <w:t xml:space="preserve"> </w:t>
      </w:r>
      <w:r w:rsidRPr="00A019F6">
        <w:rPr>
          <w:lang w:val="en-US"/>
        </w:rPr>
        <w:t>A.</w:t>
      </w:r>
      <w:r w:rsidRPr="00A019F6">
        <w:rPr>
          <w:shd w:val="clear" w:color="auto" w:fill="FFFFFF"/>
          <w:lang w:val="en-US"/>
        </w:rPr>
        <w:t xml:space="preserve"> </w:t>
      </w:r>
      <w:r w:rsidRPr="00A019F6">
        <w:rPr>
          <w:lang w:val="en-US"/>
        </w:rPr>
        <w:t>Prognostic value of preoperative indexed end-systolic left ventricle diameter in the outcome after surgery in patients with chronic aortic regurgitation</w:t>
      </w:r>
      <w:r w:rsidRPr="00A019F6">
        <w:rPr>
          <w:shd w:val="clear" w:color="auto" w:fill="FFFFFF"/>
          <w:lang w:val="en-US"/>
        </w:rPr>
        <w:t xml:space="preserve">. // </w:t>
      </w:r>
      <w:r w:rsidRPr="00A019F6">
        <w:rPr>
          <w:lang w:val="en-US"/>
        </w:rPr>
        <w:t>Am Heart J</w:t>
      </w:r>
      <w:r w:rsidRPr="00A019F6">
        <w:rPr>
          <w:shd w:val="clear" w:color="auto" w:fill="FFFFFF"/>
          <w:lang w:val="en-US"/>
        </w:rPr>
        <w:t xml:space="preserve">. – </w:t>
      </w:r>
      <w:r w:rsidRPr="00A019F6">
        <w:rPr>
          <w:lang w:val="en-US"/>
        </w:rPr>
        <w:t>2008</w:t>
      </w:r>
      <w:r w:rsidRPr="00A019F6">
        <w:rPr>
          <w:shd w:val="clear" w:color="auto" w:fill="FFFFFF"/>
          <w:lang w:val="en-US"/>
        </w:rPr>
        <w:t xml:space="preserve">. </w:t>
      </w:r>
      <w:r w:rsidRPr="00A019F6">
        <w:rPr>
          <w:lang w:val="en-US"/>
        </w:rPr>
        <w:t xml:space="preserve">– Vol. </w:t>
      </w:r>
      <w:r w:rsidRPr="00A019F6">
        <w:rPr>
          <w:shd w:val="clear" w:color="auto" w:fill="FFFFFF"/>
          <w:lang w:val="en-US"/>
        </w:rPr>
        <w:t xml:space="preserve"> </w:t>
      </w:r>
      <w:r w:rsidRPr="00A019F6">
        <w:rPr>
          <w:lang w:val="en-US"/>
        </w:rPr>
        <w:t>155</w:t>
      </w:r>
      <w:r w:rsidRPr="00A019F6">
        <w:rPr>
          <w:shd w:val="clear" w:color="auto" w:fill="FFFFFF"/>
          <w:lang w:val="en-US"/>
        </w:rPr>
        <w:t xml:space="preserve">. – </w:t>
      </w:r>
      <w:r w:rsidRPr="00A019F6">
        <w:rPr>
          <w:shd w:val="clear" w:color="auto" w:fill="FFFFFF"/>
        </w:rPr>
        <w:t>Р</w:t>
      </w:r>
      <w:r w:rsidRPr="00A019F6">
        <w:rPr>
          <w:shd w:val="clear" w:color="auto" w:fill="FFFFFF"/>
          <w:lang w:val="en-US"/>
        </w:rPr>
        <w:t xml:space="preserve">. </w:t>
      </w:r>
      <w:r w:rsidRPr="00A019F6">
        <w:rPr>
          <w:lang w:val="en-US"/>
        </w:rPr>
        <w:t>1114</w:t>
      </w:r>
      <w:r w:rsidRPr="00A019F6">
        <w:rPr>
          <w:shd w:val="clear" w:color="auto" w:fill="FFFFFF"/>
          <w:lang w:val="en-US"/>
        </w:rPr>
        <w:t>–</w:t>
      </w:r>
      <w:r w:rsidRPr="00A019F6">
        <w:rPr>
          <w:lang w:val="en-US"/>
        </w:rPr>
        <w:t>1120</w:t>
      </w:r>
      <w:r w:rsidRPr="00A019F6">
        <w:rPr>
          <w:shd w:val="clear" w:color="auto" w:fill="FFFFFF"/>
          <w:lang w:val="en-US"/>
        </w:rPr>
        <w:t>.</w:t>
      </w:r>
    </w:p>
    <w:p w:rsidR="00CC2F0B" w:rsidRPr="00A019F6" w:rsidRDefault="00CC2F0B" w:rsidP="00CC2F0B">
      <w:pPr>
        <w:pStyle w:val="a7"/>
        <w:numPr>
          <w:ilvl w:val="0"/>
          <w:numId w:val="6"/>
        </w:numPr>
        <w:rPr>
          <w:lang w:val="en-US"/>
        </w:rPr>
      </w:pPr>
      <w:r w:rsidRPr="00A019F6">
        <w:rPr>
          <w:lang w:val="en-US"/>
        </w:rPr>
        <w:t>Serruys P. W., Piazza N., Cribier A. et al. Transcatheter aortic valve implantation: tips and tricks to avoid failure. // Informa Healthcare. – 2009. – 328 p.</w:t>
      </w:r>
    </w:p>
    <w:p w:rsidR="00CC2F0B" w:rsidRPr="00A019F6" w:rsidRDefault="00CC2F0B" w:rsidP="00CC2F0B">
      <w:pPr>
        <w:pStyle w:val="a7"/>
        <w:numPr>
          <w:ilvl w:val="0"/>
          <w:numId w:val="6"/>
        </w:numPr>
        <w:rPr>
          <w:lang w:val="en-US"/>
        </w:rPr>
      </w:pPr>
      <w:r w:rsidRPr="00A019F6">
        <w:rPr>
          <w:lang w:val="en-US"/>
        </w:rPr>
        <w:t>Siemieniuk R.A., Agoritsas T., Manja V. et al. Transcatheter versus surgical aortic valve replacement in patients with severe aortic stenosis at low and intermediate risk: systematic review and meta-analysis. // BMJ. – 2016. – Vol.   354.  –</w:t>
      </w:r>
      <w:r>
        <w:t>Р</w:t>
      </w:r>
      <w:r w:rsidRPr="00A019F6">
        <w:rPr>
          <w:lang w:val="en-US"/>
        </w:rPr>
        <w:t>. i5130</w:t>
      </w:r>
    </w:p>
    <w:p w:rsidR="00CC2F0B" w:rsidRPr="00A019F6" w:rsidRDefault="00CC2F0B" w:rsidP="00CC2F0B">
      <w:pPr>
        <w:pStyle w:val="a7"/>
        <w:numPr>
          <w:ilvl w:val="0"/>
          <w:numId w:val="6"/>
        </w:numPr>
        <w:rPr>
          <w:lang w:val="en-US"/>
        </w:rPr>
      </w:pPr>
      <w:r w:rsidRPr="00A019F6">
        <w:rPr>
          <w:lang w:val="en-US"/>
        </w:rPr>
        <w:t xml:space="preserve">Siontis G.C., Praz F., Pilgrim T. et al. Transcatheter aortic valve implantation vs. surgical aortic valve replacement for treatment of severe aortic stenosis: a metaanalysis of randomized trials. // Eur. Heart J. – 2016. – Vol.   37 (47). – </w:t>
      </w:r>
      <w:r>
        <w:t>Р</w:t>
      </w:r>
      <w:r w:rsidRPr="00A019F6">
        <w:rPr>
          <w:lang w:val="en-US"/>
        </w:rPr>
        <w:t xml:space="preserve">. 3503–12. </w:t>
      </w:r>
    </w:p>
    <w:p w:rsidR="00CC2F0B" w:rsidRPr="00A019F6" w:rsidRDefault="00CC2F0B" w:rsidP="00CC2F0B">
      <w:pPr>
        <w:pStyle w:val="a7"/>
        <w:numPr>
          <w:ilvl w:val="0"/>
          <w:numId w:val="6"/>
        </w:numPr>
        <w:rPr>
          <w:lang w:val="en-US"/>
        </w:rPr>
      </w:pPr>
      <w:r w:rsidRPr="00A019F6">
        <w:rPr>
          <w:lang w:val="en-US"/>
        </w:rPr>
        <w:t xml:space="preserve">Smith C.R., Leon M.B., Mack M.J. et al., PARTNER Trial Investigators. Transcatheter versus surgical aortic-valve replacement in high-risk patients. // N. Engl. J. Med. – 2011. – Vol.   364. – </w:t>
      </w:r>
      <w:r>
        <w:t>Р</w:t>
      </w:r>
      <w:r w:rsidRPr="00A019F6">
        <w:rPr>
          <w:lang w:val="en-US"/>
        </w:rPr>
        <w:t>. 2187–98.</w:t>
      </w:r>
    </w:p>
    <w:p w:rsidR="00CC2F0B" w:rsidRPr="00A019F6" w:rsidRDefault="00CC2F0B" w:rsidP="00CC2F0B">
      <w:pPr>
        <w:pStyle w:val="a7"/>
        <w:numPr>
          <w:ilvl w:val="0"/>
          <w:numId w:val="6"/>
        </w:numPr>
        <w:rPr>
          <w:lang w:val="en-US"/>
        </w:rPr>
      </w:pPr>
      <w:r w:rsidRPr="00A019F6">
        <w:rPr>
          <w:lang w:val="en-US"/>
        </w:rPr>
        <w:t xml:space="preserve">Svensson L.G., Dewey T., Kapadia S. et al. United States feasibility study of transcatheter insertion of a stented aortic valve by the left ventricular apex. // Ann Thorac Surg. </w:t>
      </w:r>
      <w:proofErr w:type="gramStart"/>
      <w:r w:rsidRPr="00A019F6">
        <w:rPr>
          <w:lang w:val="en-US"/>
        </w:rPr>
        <w:t>–  2008</w:t>
      </w:r>
      <w:proofErr w:type="gramEnd"/>
      <w:r w:rsidRPr="00A019F6">
        <w:rPr>
          <w:lang w:val="en-US"/>
        </w:rPr>
        <w:t xml:space="preserve">. – Vol. 86. – </w:t>
      </w:r>
      <w:r>
        <w:t>Р</w:t>
      </w:r>
      <w:r w:rsidRPr="00A019F6">
        <w:rPr>
          <w:lang w:val="en-US"/>
        </w:rPr>
        <w:t>. 46–55</w:t>
      </w:r>
    </w:p>
    <w:p w:rsidR="00CC2F0B" w:rsidRPr="00A019F6" w:rsidRDefault="00CC2F0B" w:rsidP="00CC2F0B">
      <w:pPr>
        <w:pStyle w:val="a7"/>
        <w:numPr>
          <w:ilvl w:val="0"/>
          <w:numId w:val="6"/>
        </w:numPr>
        <w:rPr>
          <w:lang w:val="en-US"/>
        </w:rPr>
      </w:pPr>
      <w:r w:rsidRPr="00A019F6">
        <w:rPr>
          <w:lang w:val="en-US"/>
        </w:rPr>
        <w:t xml:space="preserve">Tamim M., Bove T, Van Belleghem Y et al. Stentless vs. stented aortic valve replacement: left ventricular mass regression // Asian Cardiovasc Thorac Ann. – 2005. – Vol.  13 (2). – </w:t>
      </w:r>
      <w:r>
        <w:t>Р</w:t>
      </w:r>
      <w:r w:rsidRPr="00A019F6">
        <w:rPr>
          <w:lang w:val="en-US"/>
        </w:rPr>
        <w:t>. 112-8.</w:t>
      </w:r>
    </w:p>
    <w:p w:rsidR="00CC2F0B" w:rsidRPr="00A019F6" w:rsidRDefault="00CC2F0B" w:rsidP="00CC2F0B">
      <w:pPr>
        <w:pStyle w:val="a7"/>
        <w:numPr>
          <w:ilvl w:val="0"/>
          <w:numId w:val="6"/>
        </w:numPr>
        <w:rPr>
          <w:lang w:val="en-US"/>
        </w:rPr>
      </w:pPr>
      <w:r w:rsidRPr="00A019F6">
        <w:rPr>
          <w:lang w:val="en-US"/>
        </w:rPr>
        <w:t xml:space="preserve">Tamim M., Bové T., Van Belleghem Y et al. Aortic valve replacement with Toronto SPV in elderly patients: 10-year results // Asian Cardiovasc Thorac Ann. – 2005. – Vol.  13 (2). – </w:t>
      </w:r>
      <w:r>
        <w:t>Р</w:t>
      </w:r>
      <w:r w:rsidRPr="00A019F6">
        <w:rPr>
          <w:lang w:val="en-US"/>
        </w:rPr>
        <w:t>. 143-8. </w:t>
      </w:r>
    </w:p>
    <w:p w:rsidR="00CC2F0B" w:rsidRPr="00A019F6" w:rsidRDefault="00CC2F0B" w:rsidP="00CC2F0B">
      <w:pPr>
        <w:pStyle w:val="a7"/>
        <w:numPr>
          <w:ilvl w:val="0"/>
          <w:numId w:val="6"/>
        </w:numPr>
        <w:rPr>
          <w:lang w:val="en-US"/>
        </w:rPr>
      </w:pPr>
      <w:r w:rsidRPr="00A019F6">
        <w:rPr>
          <w:lang w:val="en-US"/>
        </w:rPr>
        <w:t xml:space="preserve">Tjang Y.S., van Hees Y, Kbrfer R. et al. Predictors of mortality after aortic valve replacement // Eur J Cardiothorac Surg. – 2007. – Vol.  32 (3). – </w:t>
      </w:r>
      <w:r>
        <w:t>Р</w:t>
      </w:r>
      <w:r w:rsidRPr="00A019F6">
        <w:rPr>
          <w:lang w:val="en-US"/>
        </w:rPr>
        <w:t>. 469-74. </w:t>
      </w:r>
    </w:p>
    <w:p w:rsidR="00CC2F0B" w:rsidRPr="00A019F6" w:rsidRDefault="00CC2F0B" w:rsidP="00CC2F0B">
      <w:pPr>
        <w:pStyle w:val="a7"/>
        <w:numPr>
          <w:ilvl w:val="0"/>
          <w:numId w:val="6"/>
        </w:numPr>
        <w:rPr>
          <w:lang w:val="en-US" w:eastAsia="ru-RU"/>
        </w:rPr>
      </w:pPr>
      <w:r w:rsidRPr="00A019F6">
        <w:rPr>
          <w:lang w:val="en-US" w:eastAsia="ru-RU"/>
        </w:rPr>
        <w:lastRenderedPageBreak/>
        <w:t xml:space="preserve">Toggweiler S., Leipsic J., Binder R.K. et al. Management of vascular access in transcatheter aortic valve replacement: part 1: basic anatomy, imaging, sheaths, wires, and access routes. // JACC Cardiovasc. Interv. </w:t>
      </w:r>
      <w:proofErr w:type="gramStart"/>
      <w:r w:rsidRPr="00A019F6">
        <w:rPr>
          <w:lang w:val="en-US" w:eastAsia="ru-RU"/>
        </w:rPr>
        <w:t>–  2013</w:t>
      </w:r>
      <w:proofErr w:type="gramEnd"/>
      <w:r w:rsidRPr="00A019F6">
        <w:rPr>
          <w:lang w:val="en-US" w:eastAsia="ru-RU"/>
        </w:rPr>
        <w:t xml:space="preserve">. </w:t>
      </w:r>
      <w:r w:rsidRPr="00A019F6">
        <w:rPr>
          <w:lang w:val="en-US"/>
        </w:rPr>
        <w:t xml:space="preserve">– Vol. </w:t>
      </w:r>
      <w:r w:rsidRPr="00A019F6">
        <w:rPr>
          <w:lang w:val="en-US" w:eastAsia="ru-RU"/>
        </w:rPr>
        <w:t xml:space="preserve"> 6. – </w:t>
      </w:r>
      <w:r>
        <w:rPr>
          <w:lang w:eastAsia="ru-RU"/>
        </w:rPr>
        <w:t>Р</w:t>
      </w:r>
      <w:r w:rsidRPr="00A019F6">
        <w:rPr>
          <w:lang w:val="en-US" w:eastAsia="ru-RU"/>
        </w:rPr>
        <w:t>.643-653.</w:t>
      </w:r>
    </w:p>
    <w:p w:rsidR="00CC2F0B" w:rsidRPr="00A019F6" w:rsidRDefault="00CC2F0B" w:rsidP="00CC2F0B">
      <w:pPr>
        <w:pStyle w:val="a7"/>
        <w:numPr>
          <w:ilvl w:val="0"/>
          <w:numId w:val="6"/>
        </w:numPr>
        <w:rPr>
          <w:lang w:val="en-US"/>
        </w:rPr>
      </w:pPr>
      <w:r w:rsidRPr="00A019F6">
        <w:rPr>
          <w:lang w:val="en-US"/>
        </w:rPr>
        <w:t>Tornos P., Sambola A., Permanyer-Miralda G. et al. Long-term outcome of surgically treated aortic regurgitation: influence of guideline adherence toward early surgery</w:t>
      </w:r>
      <w:r w:rsidRPr="00A019F6">
        <w:rPr>
          <w:shd w:val="clear" w:color="auto" w:fill="FFFFFF"/>
          <w:lang w:val="en-US"/>
        </w:rPr>
        <w:t>. /</w:t>
      </w:r>
      <w:proofErr w:type="gramStart"/>
      <w:r w:rsidRPr="00A019F6">
        <w:rPr>
          <w:shd w:val="clear" w:color="auto" w:fill="FFFFFF"/>
          <w:lang w:val="en-US"/>
        </w:rPr>
        <w:t xml:space="preserve">/ </w:t>
      </w:r>
      <w:r w:rsidRPr="00A019F6">
        <w:rPr>
          <w:lang w:val="en-US"/>
        </w:rPr>
        <w:t xml:space="preserve"> J</w:t>
      </w:r>
      <w:proofErr w:type="gramEnd"/>
      <w:r w:rsidRPr="00A019F6">
        <w:rPr>
          <w:lang w:val="en-US"/>
        </w:rPr>
        <w:t xml:space="preserve"> Am Coll Cardiol. – 2006</w:t>
      </w:r>
      <w:r w:rsidRPr="00A019F6">
        <w:rPr>
          <w:shd w:val="clear" w:color="auto" w:fill="FFFFFF"/>
          <w:lang w:val="en-US"/>
        </w:rPr>
        <w:t xml:space="preserve">. </w:t>
      </w:r>
      <w:r w:rsidRPr="00A019F6">
        <w:rPr>
          <w:lang w:val="en-US"/>
        </w:rPr>
        <w:t>– Vol.  47</w:t>
      </w:r>
      <w:r w:rsidRPr="00A019F6">
        <w:rPr>
          <w:shd w:val="clear" w:color="auto" w:fill="FFFFFF"/>
          <w:lang w:val="en-US"/>
        </w:rPr>
        <w:t xml:space="preserve">. – </w:t>
      </w:r>
      <w:r w:rsidRPr="00A019F6">
        <w:rPr>
          <w:shd w:val="clear" w:color="auto" w:fill="FFFFFF"/>
        </w:rPr>
        <w:t>Р</w:t>
      </w:r>
      <w:r w:rsidRPr="00A019F6">
        <w:rPr>
          <w:shd w:val="clear" w:color="auto" w:fill="FFFFFF"/>
          <w:lang w:val="en-US"/>
        </w:rPr>
        <w:t>.</w:t>
      </w:r>
      <w:r w:rsidRPr="00A019F6">
        <w:rPr>
          <w:lang w:val="en-US"/>
        </w:rPr>
        <w:t xml:space="preserve"> 1012</w:t>
      </w:r>
      <w:r w:rsidRPr="00A019F6">
        <w:rPr>
          <w:shd w:val="clear" w:color="auto" w:fill="FFFFFF"/>
          <w:lang w:val="en-US"/>
        </w:rPr>
        <w:t>–</w:t>
      </w:r>
      <w:r w:rsidRPr="00A019F6">
        <w:rPr>
          <w:lang w:val="en-US"/>
        </w:rPr>
        <w:t>1017</w:t>
      </w:r>
      <w:r w:rsidRPr="00A019F6">
        <w:rPr>
          <w:shd w:val="clear" w:color="auto" w:fill="FFFFFF"/>
          <w:lang w:val="en-US"/>
        </w:rPr>
        <w:t>.</w:t>
      </w:r>
    </w:p>
    <w:p w:rsidR="00CC2F0B" w:rsidRPr="00A019F6" w:rsidRDefault="00CC2F0B" w:rsidP="00CC2F0B">
      <w:pPr>
        <w:pStyle w:val="a7"/>
        <w:numPr>
          <w:ilvl w:val="0"/>
          <w:numId w:val="6"/>
        </w:numPr>
        <w:rPr>
          <w:lang w:val="en-US"/>
        </w:rPr>
      </w:pPr>
      <w:proofErr w:type="gramStart"/>
      <w:r>
        <w:t>Т</w:t>
      </w:r>
      <w:proofErr w:type="gramEnd"/>
      <w:r w:rsidRPr="00A019F6">
        <w:rPr>
          <w:lang w:val="en-US"/>
        </w:rPr>
        <w:t xml:space="preserve">aniguchi K., Takahashi T., Toda K. et al. Left ventricular mass: impact on left ventricular contractile function and its reversibility in patients undergoing aortic valve replacement // Eur J Cardiothorac Surg. – 2007. – Vol.  32 (4). – </w:t>
      </w:r>
      <w:r>
        <w:t>Р</w:t>
      </w:r>
      <w:r w:rsidRPr="00A019F6">
        <w:rPr>
          <w:lang w:val="en-US"/>
        </w:rPr>
        <w:t>. 588-95.</w:t>
      </w:r>
    </w:p>
    <w:p w:rsidR="00CC2F0B" w:rsidRPr="00A019F6" w:rsidRDefault="00CC2F0B" w:rsidP="00CC2F0B">
      <w:pPr>
        <w:pStyle w:val="a7"/>
        <w:numPr>
          <w:ilvl w:val="0"/>
          <w:numId w:val="6"/>
        </w:numPr>
        <w:rPr>
          <w:lang w:val="en-US"/>
        </w:rPr>
      </w:pPr>
      <w:r w:rsidRPr="00A019F6">
        <w:rPr>
          <w:lang w:val="en-US"/>
        </w:rPr>
        <w:t xml:space="preserve">Urso S., Sadaba R., Greco E. et al. One-hundred aortic valve replacements in octogenarians: outcomes and risk factors for early mortality // J Heart Valve Dis. 2007. –   Vol.  16 (2). – </w:t>
      </w:r>
      <w:r>
        <w:t>Р</w:t>
      </w:r>
      <w:r w:rsidRPr="00A019F6">
        <w:rPr>
          <w:lang w:val="en-US"/>
        </w:rPr>
        <w:t>. 139-44.</w:t>
      </w:r>
    </w:p>
    <w:p w:rsidR="00CC2F0B" w:rsidRPr="00A019F6" w:rsidRDefault="00CC2F0B" w:rsidP="00CC2F0B">
      <w:pPr>
        <w:pStyle w:val="a7"/>
        <w:numPr>
          <w:ilvl w:val="0"/>
          <w:numId w:val="6"/>
        </w:numPr>
        <w:rPr>
          <w:lang w:val="en-US"/>
        </w:rPr>
      </w:pPr>
      <w:r w:rsidRPr="00A019F6">
        <w:rPr>
          <w:lang w:val="en-US"/>
        </w:rPr>
        <w:t>Vohra H.A., Whistance R.N., De Kerchove L.  </w:t>
      </w:r>
      <w:proofErr w:type="gramStart"/>
      <w:r w:rsidRPr="00A019F6">
        <w:rPr>
          <w:lang w:val="en-US"/>
        </w:rPr>
        <w:t>et</w:t>
      </w:r>
      <w:proofErr w:type="gramEnd"/>
      <w:r w:rsidRPr="00A019F6">
        <w:rPr>
          <w:lang w:val="en-US"/>
        </w:rPr>
        <w:t xml:space="preserve"> al</w:t>
      </w:r>
      <w:r w:rsidRPr="00A019F6">
        <w:rPr>
          <w:shd w:val="clear" w:color="auto" w:fill="FFFFFF"/>
          <w:lang w:val="en-US"/>
        </w:rPr>
        <w:t>.</w:t>
      </w:r>
      <w:r w:rsidRPr="00A019F6">
        <w:rPr>
          <w:lang w:val="en-US"/>
        </w:rPr>
        <w:t xml:space="preserve"> Valve-preserving surgery on the bicuspid aortic valve. // Eur J Cardiothorac Surg. </w:t>
      </w:r>
      <w:proofErr w:type="gramStart"/>
      <w:r w:rsidRPr="00A019F6">
        <w:rPr>
          <w:lang w:val="en-US"/>
        </w:rPr>
        <w:t>–  2013</w:t>
      </w:r>
      <w:proofErr w:type="gramEnd"/>
      <w:r w:rsidRPr="00A019F6">
        <w:rPr>
          <w:lang w:val="en-US"/>
        </w:rPr>
        <w:t xml:space="preserve">. – Vol.  43. – </w:t>
      </w:r>
      <w:r>
        <w:t>Р</w:t>
      </w:r>
      <w:r w:rsidRPr="00A019F6">
        <w:rPr>
          <w:lang w:val="en-US"/>
        </w:rPr>
        <w:t>. 888–898.</w:t>
      </w:r>
    </w:p>
    <w:p w:rsidR="00CC2F0B" w:rsidRPr="00A019F6" w:rsidRDefault="00CC2F0B" w:rsidP="00CC2F0B">
      <w:pPr>
        <w:pStyle w:val="a7"/>
        <w:numPr>
          <w:ilvl w:val="0"/>
          <w:numId w:val="6"/>
        </w:numPr>
        <w:rPr>
          <w:lang w:val="en-US"/>
        </w:rPr>
      </w:pPr>
      <w:r w:rsidRPr="00A019F6">
        <w:rPr>
          <w:lang w:val="en-US"/>
        </w:rPr>
        <w:t>Walther T., Dewey T., Borger M.A. et al.  Transapical aortic valve implantation: </w:t>
      </w:r>
      <w:hyperlink r:id="rId82" w:tgtFrame="_blank" w:history="1">
        <w:r w:rsidRPr="00A019F6">
          <w:rPr>
            <w:lang w:val="en-US"/>
          </w:rPr>
          <w:t>step by step</w:t>
        </w:r>
      </w:hyperlink>
      <w:r w:rsidRPr="00A019F6">
        <w:rPr>
          <w:lang w:val="en-US"/>
        </w:rPr>
        <w:t xml:space="preserve">. // Ann Thorac Surg. – 2009. – Vol. 87. – </w:t>
      </w:r>
      <w:r>
        <w:t>Р</w:t>
      </w:r>
      <w:r w:rsidRPr="00A019F6">
        <w:rPr>
          <w:lang w:val="en-US"/>
        </w:rPr>
        <w:t>. 276-83. </w:t>
      </w:r>
    </w:p>
    <w:p w:rsidR="00CC2F0B" w:rsidRPr="00A019F6" w:rsidRDefault="00CC2F0B" w:rsidP="00CC2F0B">
      <w:pPr>
        <w:pStyle w:val="a7"/>
        <w:numPr>
          <w:ilvl w:val="0"/>
          <w:numId w:val="6"/>
        </w:numPr>
        <w:rPr>
          <w:lang w:val="en-US" w:eastAsia="ru-RU"/>
        </w:rPr>
      </w:pPr>
      <w:r w:rsidRPr="00A019F6">
        <w:rPr>
          <w:lang w:val="en-US" w:eastAsia="ru-RU"/>
        </w:rPr>
        <w:t xml:space="preserve">Wendler O, Walther T, Schroefel H et al. Transapical aortic valve implantation: mid-term outcome from the source registry. // Eur. J. Cardiothorac. Surg. – 2013. </w:t>
      </w:r>
      <w:r w:rsidRPr="00A019F6">
        <w:rPr>
          <w:lang w:val="en-US"/>
        </w:rPr>
        <w:t xml:space="preserve">– Vol. </w:t>
      </w:r>
      <w:r w:rsidRPr="00A019F6">
        <w:rPr>
          <w:lang w:val="en-US" w:eastAsia="ru-RU"/>
        </w:rPr>
        <w:t xml:space="preserve"> 43. – </w:t>
      </w:r>
      <w:r>
        <w:rPr>
          <w:lang w:eastAsia="ru-RU"/>
        </w:rPr>
        <w:t>Р</w:t>
      </w:r>
      <w:r w:rsidRPr="00A019F6">
        <w:rPr>
          <w:lang w:val="en-US" w:eastAsia="ru-RU"/>
        </w:rPr>
        <w:t xml:space="preserve">. 505-511. </w:t>
      </w:r>
    </w:p>
    <w:p w:rsidR="00CC2F0B" w:rsidRPr="00A019F6" w:rsidRDefault="00CC2F0B" w:rsidP="00CC2F0B">
      <w:pPr>
        <w:pStyle w:val="a7"/>
        <w:numPr>
          <w:ilvl w:val="0"/>
          <w:numId w:val="6"/>
        </w:numPr>
        <w:rPr>
          <w:lang w:val="en-US"/>
        </w:rPr>
      </w:pPr>
      <w:r w:rsidRPr="00A019F6">
        <w:rPr>
          <w:lang w:val="en-US"/>
        </w:rPr>
        <w:t xml:space="preserve">Zybach-Benz R.E., Aeschbacher B.C., Schwerzmann M. Impact of left ventricular hypertrophy late after aortic valve replacement for aortic stenosis on cardiovascular morbidity and mortality // Int J Cardiol. – 2006. – Vol. 109 (1). – </w:t>
      </w:r>
      <w:r>
        <w:t>Р</w:t>
      </w:r>
      <w:r w:rsidRPr="00A019F6">
        <w:rPr>
          <w:lang w:val="en-US"/>
        </w:rPr>
        <w:t>. 41-7.</w:t>
      </w:r>
    </w:p>
    <w:p w:rsidR="00CC2F0B" w:rsidRPr="00DF595B" w:rsidRDefault="00CC2F0B" w:rsidP="00CC2F0B">
      <w:pPr>
        <w:rPr>
          <w:lang w:val="en-US"/>
        </w:rPr>
      </w:pPr>
      <w:r w:rsidRPr="00DF595B">
        <w:rPr>
          <w:lang w:val="en-US"/>
        </w:rPr>
        <w:br/>
      </w:r>
      <w:r w:rsidRPr="00DF595B">
        <w:rPr>
          <w:lang w:val="en-US"/>
        </w:rPr>
        <w:br/>
      </w:r>
      <w:r w:rsidRPr="00DF595B">
        <w:rPr>
          <w:lang w:val="en-US"/>
        </w:rPr>
        <w:br/>
      </w:r>
    </w:p>
    <w:p w:rsidR="002A4449" w:rsidRPr="00CC2F0B" w:rsidRDefault="002A4449" w:rsidP="00517E50">
      <w:pPr>
        <w:ind w:firstLine="708"/>
        <w:rPr>
          <w:b/>
          <w:lang w:val="en-US"/>
        </w:rPr>
      </w:pPr>
      <w:bookmarkStart w:id="27" w:name="_GoBack"/>
      <w:bookmarkEnd w:id="27"/>
    </w:p>
    <w:sectPr w:rsidR="002A4449" w:rsidRPr="00CC2F0B" w:rsidSect="007C3D88">
      <w:footerReference w:type="default" r:id="rId8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2ED9" w:rsidRDefault="00362ED9" w:rsidP="002A4449">
      <w:pPr>
        <w:spacing w:line="240" w:lineRule="auto"/>
      </w:pPr>
      <w:r>
        <w:separator/>
      </w:r>
    </w:p>
  </w:endnote>
  <w:endnote w:type="continuationSeparator" w:id="0">
    <w:p w:rsidR="00362ED9" w:rsidRDefault="00362ED9" w:rsidP="002A444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REG">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3191966"/>
      <w:docPartObj>
        <w:docPartGallery w:val="Page Numbers (Bottom of Page)"/>
        <w:docPartUnique/>
      </w:docPartObj>
    </w:sdtPr>
    <w:sdtContent>
      <w:p w:rsidR="00057EB9" w:rsidRDefault="00057EB9">
        <w:pPr>
          <w:pStyle w:val="a5"/>
          <w:jc w:val="center"/>
        </w:pPr>
        <w:fldSimple w:instr="PAGE   \* MERGEFORMAT">
          <w:r w:rsidR="004308A1">
            <w:rPr>
              <w:noProof/>
            </w:rPr>
            <w:t>100</w:t>
          </w:r>
        </w:fldSimple>
      </w:p>
    </w:sdtContent>
  </w:sdt>
  <w:p w:rsidR="00057EB9" w:rsidRDefault="00057EB9">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2ED9" w:rsidRDefault="00362ED9" w:rsidP="002A4449">
      <w:pPr>
        <w:spacing w:line="240" w:lineRule="auto"/>
      </w:pPr>
      <w:r>
        <w:separator/>
      </w:r>
    </w:p>
  </w:footnote>
  <w:footnote w:type="continuationSeparator" w:id="0">
    <w:p w:rsidR="00362ED9" w:rsidRDefault="00362ED9" w:rsidP="002A4449">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0D3159"/>
    <w:multiLevelType w:val="multilevel"/>
    <w:tmpl w:val="D04A28EA"/>
    <w:lvl w:ilvl="0">
      <w:start w:val="1"/>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1B1C3AED"/>
    <w:multiLevelType w:val="hybridMultilevel"/>
    <w:tmpl w:val="9CAC19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BFF447E"/>
    <w:multiLevelType w:val="hybridMultilevel"/>
    <w:tmpl w:val="1B4232FA"/>
    <w:lvl w:ilvl="0" w:tplc="FCBEBBAC">
      <w:start w:val="1"/>
      <w:numFmt w:val="decimal"/>
      <w:lvlText w:val="8.%1."/>
      <w:lvlJc w:val="left"/>
      <w:pPr>
        <w:ind w:left="360" w:hanging="360"/>
      </w:pPr>
      <w:rPr>
        <w:rFonts w:hint="default"/>
      </w:rPr>
    </w:lvl>
    <w:lvl w:ilvl="1" w:tplc="04190019">
      <w:start w:val="1"/>
      <w:numFmt w:val="lowerLetter"/>
      <w:lvlText w:val="%2."/>
      <w:lvlJc w:val="left"/>
      <w:pPr>
        <w:ind w:left="360" w:hanging="360"/>
      </w:pPr>
    </w:lvl>
    <w:lvl w:ilvl="2" w:tplc="0419001B" w:tentative="1">
      <w:start w:val="1"/>
      <w:numFmt w:val="lowerRoman"/>
      <w:lvlText w:val="%3."/>
      <w:lvlJc w:val="right"/>
      <w:pPr>
        <w:ind w:left="1080" w:hanging="180"/>
      </w:pPr>
    </w:lvl>
    <w:lvl w:ilvl="3" w:tplc="0419000F" w:tentative="1">
      <w:start w:val="1"/>
      <w:numFmt w:val="decimal"/>
      <w:lvlText w:val="%4."/>
      <w:lvlJc w:val="left"/>
      <w:pPr>
        <w:ind w:left="1800" w:hanging="360"/>
      </w:pPr>
    </w:lvl>
    <w:lvl w:ilvl="4" w:tplc="04190019" w:tentative="1">
      <w:start w:val="1"/>
      <w:numFmt w:val="lowerLetter"/>
      <w:lvlText w:val="%5."/>
      <w:lvlJc w:val="left"/>
      <w:pPr>
        <w:ind w:left="2520" w:hanging="360"/>
      </w:pPr>
    </w:lvl>
    <w:lvl w:ilvl="5" w:tplc="0419001B" w:tentative="1">
      <w:start w:val="1"/>
      <w:numFmt w:val="lowerRoman"/>
      <w:lvlText w:val="%6."/>
      <w:lvlJc w:val="right"/>
      <w:pPr>
        <w:ind w:left="3240" w:hanging="180"/>
      </w:pPr>
    </w:lvl>
    <w:lvl w:ilvl="6" w:tplc="0419000F" w:tentative="1">
      <w:start w:val="1"/>
      <w:numFmt w:val="decimal"/>
      <w:lvlText w:val="%7."/>
      <w:lvlJc w:val="left"/>
      <w:pPr>
        <w:ind w:left="3960" w:hanging="360"/>
      </w:pPr>
    </w:lvl>
    <w:lvl w:ilvl="7" w:tplc="04190019" w:tentative="1">
      <w:start w:val="1"/>
      <w:numFmt w:val="lowerLetter"/>
      <w:lvlText w:val="%8."/>
      <w:lvlJc w:val="left"/>
      <w:pPr>
        <w:ind w:left="4680" w:hanging="360"/>
      </w:pPr>
    </w:lvl>
    <w:lvl w:ilvl="8" w:tplc="0419001B" w:tentative="1">
      <w:start w:val="1"/>
      <w:numFmt w:val="lowerRoman"/>
      <w:lvlText w:val="%9."/>
      <w:lvlJc w:val="right"/>
      <w:pPr>
        <w:ind w:left="5400" w:hanging="180"/>
      </w:pPr>
    </w:lvl>
  </w:abstractNum>
  <w:abstractNum w:abstractNumId="3">
    <w:nsid w:val="209074D2"/>
    <w:multiLevelType w:val="multilevel"/>
    <w:tmpl w:val="61CA14D8"/>
    <w:lvl w:ilvl="0">
      <w:start w:val="2"/>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
    <w:nsid w:val="30B8448C"/>
    <w:multiLevelType w:val="multilevel"/>
    <w:tmpl w:val="EAD6AE16"/>
    <w:lvl w:ilvl="0">
      <w:start w:val="2"/>
      <w:numFmt w:val="decimal"/>
      <w:lvlText w:val="%1"/>
      <w:lvlJc w:val="left"/>
      <w:pPr>
        <w:ind w:left="600" w:hanging="600"/>
      </w:pPr>
      <w:rPr>
        <w:rFonts w:hint="default"/>
      </w:rPr>
    </w:lvl>
    <w:lvl w:ilvl="1">
      <w:start w:val="3"/>
      <w:numFmt w:val="decimal"/>
      <w:lvlText w:val="%1.%2"/>
      <w:lvlJc w:val="left"/>
      <w:pPr>
        <w:ind w:left="954" w:hanging="60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5">
    <w:nsid w:val="32994391"/>
    <w:multiLevelType w:val="multilevel"/>
    <w:tmpl w:val="C976315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37711B5A"/>
    <w:multiLevelType w:val="hybridMultilevel"/>
    <w:tmpl w:val="1BEEEF2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37DB104E"/>
    <w:multiLevelType w:val="hybridMultilevel"/>
    <w:tmpl w:val="24AA075E"/>
    <w:lvl w:ilvl="0" w:tplc="D2DCFA66">
      <w:start w:val="1"/>
      <w:numFmt w:val="decimal"/>
      <w:lvlText w:val="11.%1"/>
      <w:lvlJc w:val="left"/>
      <w:pPr>
        <w:ind w:left="644" w:hanging="360"/>
      </w:pPr>
      <w:rPr>
        <w:rFonts w:hint="default"/>
      </w:rPr>
    </w:lvl>
    <w:lvl w:ilvl="1" w:tplc="04190019">
      <w:start w:val="1"/>
      <w:numFmt w:val="lowerLetter"/>
      <w:lvlText w:val="%2."/>
      <w:lvlJc w:val="left"/>
      <w:pPr>
        <w:ind w:left="644" w:hanging="360"/>
      </w:pPr>
    </w:lvl>
    <w:lvl w:ilvl="2" w:tplc="0419001B" w:tentative="1">
      <w:start w:val="1"/>
      <w:numFmt w:val="lowerRoman"/>
      <w:lvlText w:val="%3."/>
      <w:lvlJc w:val="right"/>
      <w:pPr>
        <w:ind w:left="1364" w:hanging="180"/>
      </w:pPr>
    </w:lvl>
    <w:lvl w:ilvl="3" w:tplc="0419000F" w:tentative="1">
      <w:start w:val="1"/>
      <w:numFmt w:val="decimal"/>
      <w:lvlText w:val="%4."/>
      <w:lvlJc w:val="left"/>
      <w:pPr>
        <w:ind w:left="2084" w:hanging="360"/>
      </w:pPr>
    </w:lvl>
    <w:lvl w:ilvl="4" w:tplc="04190019" w:tentative="1">
      <w:start w:val="1"/>
      <w:numFmt w:val="lowerLetter"/>
      <w:lvlText w:val="%5."/>
      <w:lvlJc w:val="left"/>
      <w:pPr>
        <w:ind w:left="2804" w:hanging="360"/>
      </w:pPr>
    </w:lvl>
    <w:lvl w:ilvl="5" w:tplc="0419001B" w:tentative="1">
      <w:start w:val="1"/>
      <w:numFmt w:val="lowerRoman"/>
      <w:lvlText w:val="%6."/>
      <w:lvlJc w:val="right"/>
      <w:pPr>
        <w:ind w:left="3524" w:hanging="180"/>
      </w:pPr>
    </w:lvl>
    <w:lvl w:ilvl="6" w:tplc="0419000F" w:tentative="1">
      <w:start w:val="1"/>
      <w:numFmt w:val="decimal"/>
      <w:lvlText w:val="%7."/>
      <w:lvlJc w:val="left"/>
      <w:pPr>
        <w:ind w:left="4244" w:hanging="360"/>
      </w:pPr>
    </w:lvl>
    <w:lvl w:ilvl="7" w:tplc="04190019" w:tentative="1">
      <w:start w:val="1"/>
      <w:numFmt w:val="lowerLetter"/>
      <w:lvlText w:val="%8."/>
      <w:lvlJc w:val="left"/>
      <w:pPr>
        <w:ind w:left="4964" w:hanging="360"/>
      </w:pPr>
    </w:lvl>
    <w:lvl w:ilvl="8" w:tplc="0419001B" w:tentative="1">
      <w:start w:val="1"/>
      <w:numFmt w:val="lowerRoman"/>
      <w:lvlText w:val="%9."/>
      <w:lvlJc w:val="right"/>
      <w:pPr>
        <w:ind w:left="5684" w:hanging="180"/>
      </w:pPr>
    </w:lvl>
  </w:abstractNum>
  <w:abstractNum w:abstractNumId="8">
    <w:nsid w:val="37EA3800"/>
    <w:multiLevelType w:val="hybridMultilevel"/>
    <w:tmpl w:val="36640882"/>
    <w:lvl w:ilvl="0" w:tplc="E6ACF72E">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A7417B1"/>
    <w:multiLevelType w:val="hybridMultilevel"/>
    <w:tmpl w:val="36640882"/>
    <w:lvl w:ilvl="0" w:tplc="E6ACF72E">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56664168"/>
    <w:multiLevelType w:val="multilevel"/>
    <w:tmpl w:val="E4D2E76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6529121F"/>
    <w:multiLevelType w:val="multilevel"/>
    <w:tmpl w:val="CEBC7F8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6D756144"/>
    <w:multiLevelType w:val="hybridMultilevel"/>
    <w:tmpl w:val="64F6CDA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7486042C"/>
    <w:multiLevelType w:val="multilevel"/>
    <w:tmpl w:val="76F4DE56"/>
    <w:lvl w:ilvl="0">
      <w:start w:val="2"/>
      <w:numFmt w:val="decimal"/>
      <w:lvlText w:val="%1"/>
      <w:lvlJc w:val="left"/>
      <w:pPr>
        <w:ind w:left="600" w:hanging="600"/>
      </w:pPr>
      <w:rPr>
        <w:rFonts w:hint="default"/>
      </w:rPr>
    </w:lvl>
    <w:lvl w:ilvl="1">
      <w:start w:val="3"/>
      <w:numFmt w:val="decimal"/>
      <w:lvlText w:val="%1.%2"/>
      <w:lvlJc w:val="left"/>
      <w:pPr>
        <w:ind w:left="954" w:hanging="60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4">
    <w:nsid w:val="76480AE9"/>
    <w:multiLevelType w:val="multilevel"/>
    <w:tmpl w:val="61CA14D8"/>
    <w:lvl w:ilvl="0">
      <w:start w:val="2"/>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6"/>
  </w:num>
  <w:num w:numId="2">
    <w:abstractNumId w:val="5"/>
  </w:num>
  <w:num w:numId="3">
    <w:abstractNumId w:val="11"/>
  </w:num>
  <w:num w:numId="4">
    <w:abstractNumId w:val="0"/>
  </w:num>
  <w:num w:numId="5">
    <w:abstractNumId w:val="10"/>
  </w:num>
  <w:num w:numId="6">
    <w:abstractNumId w:val="12"/>
  </w:num>
  <w:num w:numId="7">
    <w:abstractNumId w:val="7"/>
  </w:num>
  <w:num w:numId="8">
    <w:abstractNumId w:val="1"/>
  </w:num>
  <w:num w:numId="9">
    <w:abstractNumId w:val="2"/>
  </w:num>
  <w:num w:numId="10">
    <w:abstractNumId w:val="9"/>
  </w:num>
  <w:num w:numId="11">
    <w:abstractNumId w:val="8"/>
  </w:num>
  <w:num w:numId="12">
    <w:abstractNumId w:val="13"/>
  </w:num>
  <w:num w:numId="13">
    <w:abstractNumId w:val="4"/>
  </w:num>
  <w:num w:numId="14">
    <w:abstractNumId w:val="14"/>
  </w:num>
  <w:num w:numId="1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grammar="clean"/>
  <w:defaultTabStop w:val="708"/>
  <w:characterSpacingControl w:val="doNotCompress"/>
  <w:footnotePr>
    <w:footnote w:id="-1"/>
    <w:footnote w:id="0"/>
  </w:footnotePr>
  <w:endnotePr>
    <w:endnote w:id="-1"/>
    <w:endnote w:id="0"/>
  </w:endnotePr>
  <w:compat/>
  <w:rsids>
    <w:rsidRoot w:val="002A4449"/>
    <w:rsid w:val="00057EB9"/>
    <w:rsid w:val="000E2659"/>
    <w:rsid w:val="00166B4D"/>
    <w:rsid w:val="002A4449"/>
    <w:rsid w:val="002A5416"/>
    <w:rsid w:val="002E0468"/>
    <w:rsid w:val="002F49CC"/>
    <w:rsid w:val="00312875"/>
    <w:rsid w:val="00330034"/>
    <w:rsid w:val="00362ED9"/>
    <w:rsid w:val="003E2715"/>
    <w:rsid w:val="003F10E4"/>
    <w:rsid w:val="004308A1"/>
    <w:rsid w:val="00517E50"/>
    <w:rsid w:val="0052575B"/>
    <w:rsid w:val="0059461D"/>
    <w:rsid w:val="00780362"/>
    <w:rsid w:val="007C3D88"/>
    <w:rsid w:val="007C56E3"/>
    <w:rsid w:val="008D45FF"/>
    <w:rsid w:val="009035ED"/>
    <w:rsid w:val="00C5632E"/>
    <w:rsid w:val="00CC2F0B"/>
    <w:rsid w:val="00D306F7"/>
    <w:rsid w:val="00E31A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4449"/>
    <w:pPr>
      <w:spacing w:after="0" w:line="360" w:lineRule="auto"/>
      <w:jc w:val="both"/>
    </w:pPr>
    <w:rPr>
      <w:rFonts w:ascii="Times New Roman" w:hAnsi="Times New Roman"/>
      <w:sz w:val="28"/>
    </w:rPr>
  </w:style>
  <w:style w:type="paragraph" w:styleId="3">
    <w:name w:val="heading 3"/>
    <w:basedOn w:val="a"/>
    <w:link w:val="30"/>
    <w:uiPriority w:val="9"/>
    <w:qFormat/>
    <w:rsid w:val="00CC2F0B"/>
    <w:pPr>
      <w:spacing w:before="100" w:beforeAutospacing="1" w:after="100" w:afterAutospacing="1" w:line="240" w:lineRule="auto"/>
      <w:jc w:val="left"/>
      <w:outlineLvl w:val="2"/>
    </w:pPr>
    <w:rPr>
      <w:rFonts w:eastAsia="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A4449"/>
    <w:pPr>
      <w:tabs>
        <w:tab w:val="center" w:pos="4677"/>
        <w:tab w:val="right" w:pos="9355"/>
      </w:tabs>
      <w:spacing w:line="240" w:lineRule="auto"/>
    </w:pPr>
  </w:style>
  <w:style w:type="character" w:customStyle="1" w:styleId="a4">
    <w:name w:val="Верхний колонтитул Знак"/>
    <w:basedOn w:val="a0"/>
    <w:link w:val="a3"/>
    <w:uiPriority w:val="99"/>
    <w:rsid w:val="002A4449"/>
  </w:style>
  <w:style w:type="paragraph" w:styleId="a5">
    <w:name w:val="footer"/>
    <w:basedOn w:val="a"/>
    <w:link w:val="a6"/>
    <w:uiPriority w:val="99"/>
    <w:unhideWhenUsed/>
    <w:rsid w:val="002A4449"/>
    <w:pPr>
      <w:tabs>
        <w:tab w:val="center" w:pos="4677"/>
        <w:tab w:val="right" w:pos="9355"/>
      </w:tabs>
      <w:spacing w:line="240" w:lineRule="auto"/>
    </w:pPr>
  </w:style>
  <w:style w:type="character" w:customStyle="1" w:styleId="a6">
    <w:name w:val="Нижний колонтитул Знак"/>
    <w:basedOn w:val="a0"/>
    <w:link w:val="a5"/>
    <w:uiPriority w:val="99"/>
    <w:rsid w:val="002A4449"/>
  </w:style>
  <w:style w:type="paragraph" w:styleId="a7">
    <w:name w:val="List Paragraph"/>
    <w:basedOn w:val="a"/>
    <w:uiPriority w:val="34"/>
    <w:qFormat/>
    <w:rsid w:val="002F49CC"/>
    <w:pPr>
      <w:ind w:left="720"/>
      <w:contextualSpacing/>
    </w:pPr>
  </w:style>
  <w:style w:type="character" w:styleId="a8">
    <w:name w:val="Hyperlink"/>
    <w:basedOn w:val="a0"/>
    <w:uiPriority w:val="99"/>
    <w:semiHidden/>
    <w:unhideWhenUsed/>
    <w:rsid w:val="002A5416"/>
    <w:rPr>
      <w:color w:val="0000FF"/>
      <w:u w:val="single"/>
    </w:rPr>
  </w:style>
  <w:style w:type="character" w:customStyle="1" w:styleId="30">
    <w:name w:val="Заголовок 3 Знак"/>
    <w:basedOn w:val="a0"/>
    <w:link w:val="3"/>
    <w:uiPriority w:val="9"/>
    <w:rsid w:val="00CC2F0B"/>
    <w:rPr>
      <w:rFonts w:ascii="Times New Roman" w:eastAsia="Times New Roman" w:hAnsi="Times New Roman" w:cs="Times New Roman"/>
      <w:b/>
      <w:bCs/>
      <w:sz w:val="27"/>
      <w:szCs w:val="27"/>
      <w:lang w:eastAsia="ru-RU"/>
    </w:rPr>
  </w:style>
  <w:style w:type="paragraph" w:styleId="a9">
    <w:name w:val="Normal (Web)"/>
    <w:basedOn w:val="a"/>
    <w:uiPriority w:val="99"/>
    <w:semiHidden/>
    <w:unhideWhenUsed/>
    <w:rsid w:val="00CC2F0B"/>
    <w:pPr>
      <w:spacing w:before="100" w:beforeAutospacing="1" w:after="100" w:afterAutospacing="1" w:line="240" w:lineRule="auto"/>
      <w:jc w:val="left"/>
    </w:pPr>
    <w:rPr>
      <w:rFonts w:eastAsia="Times New Roman" w:cs="Times New Roman"/>
      <w:sz w:val="24"/>
      <w:szCs w:val="24"/>
      <w:lang w:eastAsia="ru-RU"/>
    </w:rPr>
  </w:style>
  <w:style w:type="table" w:styleId="aa">
    <w:name w:val="Table Grid"/>
    <w:basedOn w:val="a1"/>
    <w:uiPriority w:val="39"/>
    <w:rsid w:val="00CC2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trong"/>
    <w:basedOn w:val="a0"/>
    <w:uiPriority w:val="22"/>
    <w:qFormat/>
    <w:rsid w:val="00CC2F0B"/>
    <w:rPr>
      <w:b/>
      <w:bCs/>
    </w:rPr>
  </w:style>
  <w:style w:type="paragraph" w:styleId="ac">
    <w:name w:val="Balloon Text"/>
    <w:basedOn w:val="a"/>
    <w:link w:val="ad"/>
    <w:uiPriority w:val="99"/>
    <w:semiHidden/>
    <w:unhideWhenUsed/>
    <w:rsid w:val="00D306F7"/>
    <w:pPr>
      <w:spacing w:line="240" w:lineRule="auto"/>
    </w:pPr>
    <w:rPr>
      <w:rFonts w:ascii="Tahoma" w:hAnsi="Tahoma" w:cs="Tahoma"/>
      <w:sz w:val="16"/>
      <w:szCs w:val="16"/>
    </w:rPr>
  </w:style>
  <w:style w:type="character" w:customStyle="1" w:styleId="ad">
    <w:name w:val="Текст выноски Знак"/>
    <w:basedOn w:val="a0"/>
    <w:link w:val="ac"/>
    <w:uiPriority w:val="99"/>
    <w:semiHidden/>
    <w:rsid w:val="00D306F7"/>
    <w:rPr>
      <w:rFonts w:ascii="Tahoma" w:hAnsi="Tahoma" w:cs="Tahoma"/>
      <w:sz w:val="16"/>
      <w:szCs w:val="16"/>
    </w:rPr>
  </w:style>
  <w:style w:type="paragraph" w:styleId="ae">
    <w:name w:val="caption"/>
    <w:basedOn w:val="a"/>
    <w:next w:val="a"/>
    <w:unhideWhenUsed/>
    <w:qFormat/>
    <w:rsid w:val="00057EB9"/>
    <w:pPr>
      <w:spacing w:line="240" w:lineRule="auto"/>
      <w:jc w:val="left"/>
    </w:pPr>
    <w:rPr>
      <w:rFonts w:eastAsia="Times New Roman" w:cs="Times New Roman"/>
      <w:b/>
      <w:bCs/>
      <w:sz w:val="20"/>
      <w:szCs w:val="20"/>
      <w:lang w:eastAsia="ru-RU"/>
    </w:rPr>
  </w:style>
  <w:style w:type="paragraph" w:styleId="31">
    <w:name w:val="Body Text Indent 3"/>
    <w:basedOn w:val="a"/>
    <w:link w:val="32"/>
    <w:rsid w:val="00057EB9"/>
    <w:pPr>
      <w:spacing w:line="240" w:lineRule="auto"/>
      <w:ind w:left="567"/>
    </w:pPr>
    <w:rPr>
      <w:rFonts w:eastAsia="Times New Roman" w:cs="Times New Roman"/>
      <w:szCs w:val="20"/>
      <w:lang w:eastAsia="ru-RU"/>
    </w:rPr>
  </w:style>
  <w:style w:type="character" w:customStyle="1" w:styleId="32">
    <w:name w:val="Основной текст с отступом 3 Знак"/>
    <w:basedOn w:val="a0"/>
    <w:link w:val="31"/>
    <w:rsid w:val="00057EB9"/>
    <w:rPr>
      <w:rFonts w:ascii="Times New Roman" w:eastAsia="Times New Roman" w:hAnsi="Times New Roman" w:cs="Times New Roman"/>
      <w:sz w:val="28"/>
      <w:szCs w:val="20"/>
      <w:lang w:eastAsia="ru-RU"/>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chart" Target="charts/chart1.xml"/><Relationship Id="rId55" Type="http://schemas.openxmlformats.org/officeDocument/2006/relationships/chart" Target="charts/chart6.xml"/><Relationship Id="rId63" Type="http://schemas.openxmlformats.org/officeDocument/2006/relationships/chart" Target="charts/chart14.xml"/><Relationship Id="rId68" Type="http://schemas.openxmlformats.org/officeDocument/2006/relationships/hyperlink" Target="https://elibrary.ru/contents.asp?id=36518054&amp;selid=36518063" TargetMode="External"/><Relationship Id="rId76" Type="http://schemas.openxmlformats.org/officeDocument/2006/relationships/hyperlink" Target="https://elibrary.ru/contents.asp?id=34339617" TargetMode="External"/><Relationship Id="rId84"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s://cyberleninka.ru/journal/n/journal-of-siberian-medical-sciences"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chart" Target="charts/chart4.xml"/><Relationship Id="rId58" Type="http://schemas.openxmlformats.org/officeDocument/2006/relationships/chart" Target="charts/chart9.xml"/><Relationship Id="rId66" Type="http://schemas.openxmlformats.org/officeDocument/2006/relationships/hyperlink" Target="https://elibrary.ru/item.asp?id=36518063" TargetMode="External"/><Relationship Id="rId74" Type="http://schemas.openxmlformats.org/officeDocument/2006/relationships/hyperlink" Target="https://elibrary.ru/contents.asp?id=34225194" TargetMode="External"/><Relationship Id="rId79" Type="http://schemas.openxmlformats.org/officeDocument/2006/relationships/hyperlink" Target="https://elibrary.ru/item.asp?id=36724795" TargetMode="External"/><Relationship Id="rId5" Type="http://schemas.openxmlformats.org/officeDocument/2006/relationships/footnotes" Target="footnotes.xml"/><Relationship Id="rId61" Type="http://schemas.openxmlformats.org/officeDocument/2006/relationships/chart" Target="charts/chart12.xml"/><Relationship Id="rId82" Type="http://schemas.openxmlformats.org/officeDocument/2006/relationships/hyperlink" Target="http://www.ncbi.nlm.nih.gov/pubmed/20206542" TargetMode="Externa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emf"/><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chart" Target="charts/chart7.xml"/><Relationship Id="rId64" Type="http://schemas.openxmlformats.org/officeDocument/2006/relationships/chart" Target="charts/chart15.xml"/><Relationship Id="rId69" Type="http://schemas.openxmlformats.org/officeDocument/2006/relationships/hyperlink" Target="https://elibrary.ru/contents.asp?id=34076346" TargetMode="External"/><Relationship Id="rId77" Type="http://schemas.openxmlformats.org/officeDocument/2006/relationships/hyperlink" Target="https://elibrary.ru/contents.asp?id=34339617&amp;selid=27519293" TargetMode="External"/><Relationship Id="rId8" Type="http://schemas.openxmlformats.org/officeDocument/2006/relationships/image" Target="media/image2.png"/><Relationship Id="rId51" Type="http://schemas.openxmlformats.org/officeDocument/2006/relationships/chart" Target="charts/chart2.xml"/><Relationship Id="rId72" Type="http://schemas.openxmlformats.org/officeDocument/2006/relationships/hyperlink" Target="https://cyberleninka.ru/journal/n/kompleksnye-problemy-serdechno-sosudistyh-zabolevaniy" TargetMode="External"/><Relationship Id="rId80" Type="http://schemas.openxmlformats.org/officeDocument/2006/relationships/hyperlink" Target="https://elibrary.ru/contents.asp?id=34551178" TargetMode="Externa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chart" Target="charts/chart10.xml"/><Relationship Id="rId67" Type="http://schemas.openxmlformats.org/officeDocument/2006/relationships/hyperlink" Target="https://elibrary.ru/contents.asp?id=36518054" TargetMode="Externa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chart" Target="charts/chart5.xml"/><Relationship Id="rId62" Type="http://schemas.openxmlformats.org/officeDocument/2006/relationships/chart" Target="charts/chart13.xml"/><Relationship Id="rId70" Type="http://schemas.openxmlformats.org/officeDocument/2006/relationships/hyperlink" Target="https://elibrary.ru/contents.asp?id=34076346&amp;selid=23603639" TargetMode="External"/><Relationship Id="rId75" Type="http://schemas.openxmlformats.org/officeDocument/2006/relationships/hyperlink" Target="https://elibrary.ru/contents.asp?id=34225194&amp;selid=25685858" TargetMode="External"/><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emf"/><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chart" Target="charts/chart8.xml"/><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chart" Target="charts/chart3.xml"/><Relationship Id="rId60" Type="http://schemas.openxmlformats.org/officeDocument/2006/relationships/chart" Target="charts/chart11.xml"/><Relationship Id="rId65" Type="http://schemas.openxmlformats.org/officeDocument/2006/relationships/hyperlink" Target="https://cyberleninka.ru/journal/n/mezhdunarodnyy-zhurnal-interventsionnoy-kardioangiologii" TargetMode="External"/><Relationship Id="rId73" Type="http://schemas.openxmlformats.org/officeDocument/2006/relationships/hyperlink" Target="https://elibrary.ru/item.asp?id=25685858" TargetMode="External"/><Relationship Id="rId78" Type="http://schemas.openxmlformats.org/officeDocument/2006/relationships/hyperlink" Target="https://elibrary.ru/item.asp?id=36724961" TargetMode="External"/><Relationship Id="rId81" Type="http://schemas.openxmlformats.org/officeDocument/2006/relationships/hyperlink" Target="https://elibrary.ru/contents.asp?id=34551178&amp;selid=30732504"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Лист2!$B$3:$B$5</c:f>
              <c:strCache>
                <c:ptCount val="3"/>
                <c:pt idx="0">
                  <c:v>исходно</c:v>
                </c:pt>
                <c:pt idx="1">
                  <c:v>через 3 мес.</c:v>
                </c:pt>
                <c:pt idx="2">
                  <c:v>через 6 мес.</c:v>
                </c:pt>
              </c:strCache>
            </c:strRef>
          </c:cat>
          <c:val>
            <c:numRef>
              <c:f>Лист2!$C$3:$C$5</c:f>
              <c:numCache>
                <c:formatCode>0.0</c:formatCode>
                <c:ptCount val="3"/>
                <c:pt idx="0">
                  <c:v>120</c:v>
                </c:pt>
                <c:pt idx="1">
                  <c:v>119</c:v>
                </c:pt>
                <c:pt idx="2">
                  <c:v>123.5</c:v>
                </c:pt>
              </c:numCache>
            </c:numRef>
          </c:val>
        </c:ser>
        <c:marker val="1"/>
        <c:axId val="290321536"/>
        <c:axId val="290323072"/>
      </c:lineChart>
      <c:catAx>
        <c:axId val="29032153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0323072"/>
        <c:crosses val="autoZero"/>
        <c:auto val="1"/>
        <c:lblAlgn val="ctr"/>
        <c:lblOffset val="100"/>
      </c:catAx>
      <c:valAx>
        <c:axId val="290323072"/>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032153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8888888888888917E-2"/>
                  <c:y val="8.7962962962963062E-2"/>
                </c:manualLayout>
              </c:layout>
              <c:showVal val="1"/>
              <c:extLst>
                <c:ext xmlns:c15="http://schemas.microsoft.com/office/drawing/2012/chart" uri="{CE6537A1-D6FC-4f65-9D91-7224C49458BB}"/>
              </c:extLst>
            </c:dLbl>
            <c:dLbl>
              <c:idx val="3"/>
              <c:layout>
                <c:manualLayout>
                  <c:x val="-3.6111111111111135E-2"/>
                  <c:y val="8.3333333333333343E-2"/>
                </c:manualLayout>
              </c:layout>
              <c:showVal val="1"/>
              <c:extLst>
                <c:ext xmlns:c15="http://schemas.microsoft.com/office/drawing/2012/chart" uri="{CE6537A1-D6FC-4f65-9D91-7224C49458BB}"/>
              </c:extLst>
            </c:dLbl>
            <c:dLbl>
              <c:idx val="4"/>
              <c:layout>
                <c:manualLayout>
                  <c:x val="-8.3333333333334425E-3"/>
                  <c:y val="-0.10185185185185187"/>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Лист2!$N$27:$N$32</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Лист2!$O$27:$O$32</c:f>
              <c:numCache>
                <c:formatCode>General</c:formatCode>
                <c:ptCount val="6"/>
                <c:pt idx="0">
                  <c:v>7.3</c:v>
                </c:pt>
                <c:pt idx="1">
                  <c:v>8.1</c:v>
                </c:pt>
                <c:pt idx="2">
                  <c:v>11.2</c:v>
                </c:pt>
                <c:pt idx="3">
                  <c:v>9.1</c:v>
                </c:pt>
                <c:pt idx="4">
                  <c:v>8.2000000000000011</c:v>
                </c:pt>
                <c:pt idx="5">
                  <c:v>7.5</c:v>
                </c:pt>
              </c:numCache>
            </c:numRef>
          </c:val>
        </c:ser>
        <c:marker val="1"/>
        <c:axId val="296149376"/>
        <c:axId val="296150912"/>
      </c:lineChart>
      <c:catAx>
        <c:axId val="2961493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150912"/>
        <c:crosses val="autoZero"/>
        <c:auto val="1"/>
        <c:lblAlgn val="ctr"/>
        <c:lblOffset val="100"/>
      </c:catAx>
      <c:valAx>
        <c:axId val="2961509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14937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0"/>
                  <c:y val="4.6296296296296335E-2"/>
                </c:manualLayout>
              </c:layout>
              <c:showVal val="1"/>
              <c:extLst>
                <c:ext xmlns:c15="http://schemas.microsoft.com/office/drawing/2012/chart" uri="{CE6537A1-D6FC-4f65-9D91-7224C49458BB}"/>
              </c:extLst>
            </c:dLbl>
            <c:dLbl>
              <c:idx val="4"/>
              <c:layout>
                <c:manualLayout>
                  <c:x val="-4.1666666666666664E-2"/>
                  <c:y val="-0.10648148148148159"/>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Лист2!$E$35:$E$40</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Лист2!$F$35:$F$40</c:f>
              <c:numCache>
                <c:formatCode>0.0</c:formatCode>
                <c:ptCount val="6"/>
                <c:pt idx="0">
                  <c:v>12.1</c:v>
                </c:pt>
                <c:pt idx="1">
                  <c:v>13.3</c:v>
                </c:pt>
                <c:pt idx="2">
                  <c:v>13.9</c:v>
                </c:pt>
                <c:pt idx="3">
                  <c:v>11.9</c:v>
                </c:pt>
                <c:pt idx="4">
                  <c:v>12.4</c:v>
                </c:pt>
                <c:pt idx="5">
                  <c:v>12.3</c:v>
                </c:pt>
              </c:numCache>
            </c:numRef>
          </c:val>
        </c:ser>
        <c:marker val="1"/>
        <c:axId val="296252544"/>
        <c:axId val="296254080"/>
      </c:lineChart>
      <c:catAx>
        <c:axId val="2962525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254080"/>
        <c:crosses val="autoZero"/>
        <c:auto val="1"/>
        <c:lblAlgn val="ctr"/>
        <c:lblOffset val="100"/>
      </c:catAx>
      <c:valAx>
        <c:axId val="296254080"/>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2525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3333333333333381E-2"/>
                  <c:y val="0.1018518518518518"/>
                </c:manualLayout>
              </c:layout>
              <c:showVal val="1"/>
              <c:extLst>
                <c:ext xmlns:c15="http://schemas.microsoft.com/office/drawing/2012/chart" uri="{CE6537A1-D6FC-4f65-9D91-7224C49458BB}"/>
              </c:extLst>
            </c:dLbl>
            <c:dLbl>
              <c:idx val="1"/>
              <c:layout>
                <c:manualLayout>
                  <c:x val="-2.7777777777777835E-3"/>
                  <c:y val="0.125"/>
                </c:manualLayout>
              </c:layout>
              <c:showVal val="1"/>
              <c:extLst>
                <c:ext xmlns:c15="http://schemas.microsoft.com/office/drawing/2012/chart" uri="{CE6537A1-D6FC-4f65-9D91-7224C49458BB}"/>
              </c:extLst>
            </c:dLbl>
            <c:dLbl>
              <c:idx val="2"/>
              <c:layout>
                <c:manualLayout>
                  <c:x val="0"/>
                  <c:y val="-6.9444444444444503E-2"/>
                </c:manualLayout>
              </c:layout>
              <c:showVal val="1"/>
              <c:extLst>
                <c:ext xmlns:c15="http://schemas.microsoft.com/office/drawing/2012/chart" uri="{CE6537A1-D6FC-4f65-9D91-7224C49458BB}"/>
              </c:extLst>
            </c:dLbl>
            <c:dLbl>
              <c:idx val="3"/>
              <c:layout>
                <c:manualLayout>
                  <c:x val="-2.5000000000000112E-2"/>
                  <c:y val="6.9444444444444503E-2"/>
                </c:manualLayout>
              </c:layout>
              <c:showVal val="1"/>
              <c:extLst>
                <c:ext xmlns:c15="http://schemas.microsoft.com/office/drawing/2012/chart" uri="{CE6537A1-D6FC-4f65-9D91-7224C49458BB}"/>
              </c:extLst>
            </c:dLbl>
            <c:dLbl>
              <c:idx val="4"/>
              <c:layout>
                <c:manualLayout>
                  <c:x val="-8.3333333333333367E-3"/>
                  <c:y val="9.2592592592592754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Лист2!$K$35:$K$40</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Лист2!$L$35:$L$40</c:f>
              <c:numCache>
                <c:formatCode>0.00</c:formatCode>
                <c:ptCount val="6"/>
                <c:pt idx="0">
                  <c:v>0.63000000000000045</c:v>
                </c:pt>
                <c:pt idx="1">
                  <c:v>0.71000000000000041</c:v>
                </c:pt>
                <c:pt idx="2">
                  <c:v>0.79</c:v>
                </c:pt>
                <c:pt idx="3">
                  <c:v>0.73000000000000043</c:v>
                </c:pt>
                <c:pt idx="4">
                  <c:v>0.69000000000000039</c:v>
                </c:pt>
                <c:pt idx="5">
                  <c:v>0.67000000000000071</c:v>
                </c:pt>
              </c:numCache>
            </c:numRef>
          </c:val>
        </c:ser>
        <c:marker val="1"/>
        <c:axId val="296281984"/>
        <c:axId val="296283520"/>
      </c:lineChart>
      <c:catAx>
        <c:axId val="2962819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283520"/>
        <c:crosses val="autoZero"/>
        <c:auto val="1"/>
        <c:lblAlgn val="ctr"/>
        <c:lblOffset val="100"/>
      </c:catAx>
      <c:valAx>
        <c:axId val="296283520"/>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28198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3"/>
              <c:layout>
                <c:manualLayout>
                  <c:x val="-0.10555555555555569"/>
                  <c:y val="-1.8518518518518528E-2"/>
                </c:manualLayout>
              </c:layout>
              <c:showVal val="1"/>
              <c:extLst>
                <c:ext xmlns:c15="http://schemas.microsoft.com/office/drawing/2012/chart" uri="{CE6537A1-D6FC-4f65-9D91-7224C49458BB}"/>
              </c:extLst>
            </c:dLbl>
            <c:dLbl>
              <c:idx val="4"/>
              <c:layout>
                <c:manualLayout>
                  <c:x val="-4.1666666666666664E-2"/>
                  <c:y val="0.1157407407407408"/>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Лист2!$H$35:$H$40</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Лист2!$I$35:$I$40</c:f>
              <c:numCache>
                <c:formatCode>0.0</c:formatCode>
                <c:ptCount val="6"/>
                <c:pt idx="0">
                  <c:v>119</c:v>
                </c:pt>
                <c:pt idx="1">
                  <c:v>126</c:v>
                </c:pt>
                <c:pt idx="2">
                  <c:v>117.1</c:v>
                </c:pt>
                <c:pt idx="3">
                  <c:v>129</c:v>
                </c:pt>
                <c:pt idx="4">
                  <c:v>128</c:v>
                </c:pt>
                <c:pt idx="5">
                  <c:v>128</c:v>
                </c:pt>
              </c:numCache>
            </c:numRef>
          </c:val>
        </c:ser>
        <c:marker val="1"/>
        <c:axId val="316525184"/>
        <c:axId val="316526976"/>
      </c:lineChart>
      <c:catAx>
        <c:axId val="3165251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526976"/>
        <c:crosses val="autoZero"/>
        <c:auto val="1"/>
        <c:lblAlgn val="ctr"/>
        <c:lblOffset val="100"/>
      </c:catAx>
      <c:valAx>
        <c:axId val="316526976"/>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52518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6.5358705161854769E-2"/>
          <c:y val="2.5428331875182269E-2"/>
          <c:w val="0.89019685039370122"/>
          <c:h val="0.7399617235345588"/>
        </c:manualLayout>
      </c:layout>
      <c:lineChart>
        <c:grouping val="standard"/>
        <c:ser>
          <c:idx val="0"/>
          <c:order val="0"/>
          <c:spPr>
            <a:ln w="28575" cap="rnd">
              <a:solidFill>
                <a:schemeClr val="accent1"/>
              </a:solidFill>
              <a:round/>
            </a:ln>
            <a:effectLst/>
          </c:spPr>
          <c:marker>
            <c:symbol val="none"/>
          </c:marker>
          <c:dLbls>
            <c:dLbl>
              <c:idx val="0"/>
              <c:layout>
                <c:manualLayout>
                  <c:x val="-2.0338983050847477E-2"/>
                  <c:y val="6.1835748792270467E-2"/>
                </c:manualLayout>
              </c:layout>
              <c:showVal val="1"/>
              <c:extLst>
                <c:ext xmlns:c15="http://schemas.microsoft.com/office/drawing/2012/chart" uri="{CE6537A1-D6FC-4f65-9D91-7224C49458BB}"/>
              </c:extLst>
            </c:dLbl>
            <c:dLbl>
              <c:idx val="4"/>
              <c:layout>
                <c:manualLayout>
                  <c:x val="-2.0338983050847435E-2"/>
                  <c:y val="6.5700483091787429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Лист2!$N$35:$N$40</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Лист2!$O$35:$O$40</c:f>
              <c:numCache>
                <c:formatCode>General</c:formatCode>
                <c:ptCount val="6"/>
                <c:pt idx="0">
                  <c:v>123.7</c:v>
                </c:pt>
                <c:pt idx="1">
                  <c:v>127.2</c:v>
                </c:pt>
                <c:pt idx="2">
                  <c:v>261.7</c:v>
                </c:pt>
                <c:pt idx="3">
                  <c:v>182.3</c:v>
                </c:pt>
                <c:pt idx="4">
                  <c:v>117.9</c:v>
                </c:pt>
                <c:pt idx="5">
                  <c:v>125.5</c:v>
                </c:pt>
              </c:numCache>
            </c:numRef>
          </c:val>
        </c:ser>
        <c:marker val="1"/>
        <c:axId val="316538240"/>
        <c:axId val="349856896"/>
      </c:lineChart>
      <c:catAx>
        <c:axId val="3165382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9856896"/>
        <c:crosses val="autoZero"/>
        <c:auto val="1"/>
        <c:lblAlgn val="ctr"/>
        <c:lblOffset val="100"/>
      </c:catAx>
      <c:valAx>
        <c:axId val="3498568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53824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Лист2!$F$42</c:f>
              <c:strCache>
                <c:ptCount val="1"/>
                <c:pt idx="0">
                  <c:v>IL-6</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888888888888889E-2"/>
                  <c:y val="-0.1157407407407408"/>
                </c:manualLayout>
              </c:layout>
              <c:showVal val="1"/>
              <c:extLst>
                <c:ext xmlns:c15="http://schemas.microsoft.com/office/drawing/2012/chart" uri="{CE6537A1-D6FC-4f65-9D91-7224C49458BB}"/>
              </c:extLst>
            </c:dLbl>
            <c:dLbl>
              <c:idx val="1"/>
              <c:layout>
                <c:manualLayout>
                  <c:x val="-7.5000000000000011E-2"/>
                  <c:y val="-0.14814814814814831"/>
                </c:manualLayout>
              </c:layout>
              <c:showVal val="1"/>
              <c:extLst>
                <c:ext xmlns:c15="http://schemas.microsoft.com/office/drawing/2012/chart" uri="{CE6537A1-D6FC-4f65-9D91-7224C49458BB}"/>
              </c:extLst>
            </c:dLbl>
            <c:dLbl>
              <c:idx val="2"/>
              <c:layout>
                <c:manualLayout>
                  <c:x val="-1.0185067526416028E-16"/>
                  <c:y val="-4.1666666666666692E-2"/>
                </c:manualLayout>
              </c:layout>
              <c:showVal val="1"/>
              <c:extLst>
                <c:ext xmlns:c15="http://schemas.microsoft.com/office/drawing/2012/chart" uri="{CE6537A1-D6FC-4f65-9D91-7224C49458BB}"/>
              </c:extLst>
            </c:dLbl>
            <c:dLbl>
              <c:idx val="3"/>
              <c:layout>
                <c:manualLayout>
                  <c:x val="1.666666666666658E-2"/>
                  <c:y val="-0.11111111111111113"/>
                </c:manualLayout>
              </c:layout>
              <c:showVal val="1"/>
              <c:extLst>
                <c:ext xmlns:c15="http://schemas.microsoft.com/office/drawing/2012/chart" uri="{CE6537A1-D6FC-4f65-9D91-7224C49458BB}"/>
              </c:extLst>
            </c:dLbl>
            <c:dLbl>
              <c:idx val="4"/>
              <c:layout>
                <c:manualLayout>
                  <c:x val="-8.3333333333334425E-3"/>
                  <c:y val="-0.10185185185185189"/>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Лист2!$E$43:$E$48</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Лист2!$F$43:$F$48</c:f>
              <c:numCache>
                <c:formatCode>0.0</c:formatCode>
                <c:ptCount val="6"/>
                <c:pt idx="0">
                  <c:v>118.4</c:v>
                </c:pt>
                <c:pt idx="1">
                  <c:v>121.3</c:v>
                </c:pt>
                <c:pt idx="2">
                  <c:v>313.10000000000002</c:v>
                </c:pt>
                <c:pt idx="3">
                  <c:v>218.1</c:v>
                </c:pt>
                <c:pt idx="4">
                  <c:v>125.2</c:v>
                </c:pt>
                <c:pt idx="5">
                  <c:v>123.3</c:v>
                </c:pt>
              </c:numCache>
            </c:numRef>
          </c:val>
        </c:ser>
        <c:ser>
          <c:idx val="1"/>
          <c:order val="1"/>
          <c:tx>
            <c:strRef>
              <c:f>Лист2!$G$42</c:f>
              <c:strCache>
                <c:ptCount val="1"/>
                <c:pt idx="0">
                  <c:v>IL-1β</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9.1666666666666771E-2"/>
                  <c:y val="-1.3888888888888904E-2"/>
                </c:manualLayout>
              </c:layout>
              <c:showVal val="1"/>
              <c:extLst>
                <c:ext xmlns:c15="http://schemas.microsoft.com/office/drawing/2012/chart" uri="{CE6537A1-D6FC-4f65-9D91-7224C49458BB}"/>
              </c:extLst>
            </c:dLbl>
            <c:dLbl>
              <c:idx val="2"/>
              <c:layout>
                <c:manualLayout>
                  <c:x val="-1.9966722129783707E-2"/>
                  <c:y val="5.9806508355321086E-2"/>
                </c:manualLayout>
              </c:layout>
              <c:showVal val="1"/>
              <c:extLst>
                <c:ext xmlns:c15="http://schemas.microsoft.com/office/drawing/2012/chart" uri="{CE6537A1-D6FC-4f65-9D91-7224C49458BB}"/>
              </c:extLst>
            </c:dLbl>
            <c:dLbl>
              <c:idx val="3"/>
              <c:layout>
                <c:manualLayout>
                  <c:x val="-5.2777777777777882E-2"/>
                  <c:y val="8.3333333333333245E-2"/>
                </c:manualLayout>
              </c:layout>
              <c:showVal val="1"/>
              <c:extLst>
                <c:ext xmlns:c15="http://schemas.microsoft.com/office/drawing/2012/chart" uri="{CE6537A1-D6FC-4f65-9D91-7224C49458BB}"/>
              </c:extLst>
            </c:dLbl>
            <c:dLbl>
              <c:idx val="5"/>
              <c:layout>
                <c:manualLayout>
                  <c:x val="2.7777777777778846E-3"/>
                  <c:y val="8.3333333333333204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Лист2!$E$43:$E$48</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Лист2!$G$43:$G$48</c:f>
              <c:numCache>
                <c:formatCode>General</c:formatCode>
                <c:ptCount val="6"/>
                <c:pt idx="0">
                  <c:v>77.3</c:v>
                </c:pt>
                <c:pt idx="1">
                  <c:v>81.099999999999994</c:v>
                </c:pt>
                <c:pt idx="2">
                  <c:v>202.9</c:v>
                </c:pt>
                <c:pt idx="3">
                  <c:v>159.80000000000001</c:v>
                </c:pt>
                <c:pt idx="4">
                  <c:v>69.599999999999994</c:v>
                </c:pt>
                <c:pt idx="5">
                  <c:v>78.5</c:v>
                </c:pt>
              </c:numCache>
            </c:numRef>
          </c:val>
        </c:ser>
        <c:ser>
          <c:idx val="2"/>
          <c:order val="2"/>
          <c:tx>
            <c:strRef>
              <c:f>Лист2!$H$42</c:f>
              <c:strCache>
                <c:ptCount val="1"/>
                <c:pt idx="0">
                  <c:v>IL-8</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8333333333333411E-2"/>
                  <c:y val="8.3333333333333343E-2"/>
                </c:manualLayout>
              </c:layout>
              <c:showVal val="1"/>
              <c:extLst>
                <c:ext xmlns:c15="http://schemas.microsoft.com/office/drawing/2012/chart" uri="{CE6537A1-D6FC-4f65-9D91-7224C49458BB}"/>
              </c:extLst>
            </c:dLbl>
            <c:dLbl>
              <c:idx val="1"/>
              <c:layout>
                <c:manualLayout>
                  <c:x val="-3.888888888888889E-2"/>
                  <c:y val="6.9444444444444503E-2"/>
                </c:manualLayout>
              </c:layout>
              <c:showVal val="1"/>
              <c:extLst>
                <c:ext xmlns:c15="http://schemas.microsoft.com/office/drawing/2012/chart" uri="{CE6537A1-D6FC-4f65-9D91-7224C49458BB}"/>
              </c:extLst>
            </c:dLbl>
            <c:dLbl>
              <c:idx val="2"/>
              <c:layout>
                <c:manualLayout>
                  <c:x val="-2.8896371314650584E-2"/>
                  <c:y val="-3.7000256234461487E-2"/>
                </c:manualLayout>
              </c:layout>
              <c:showVal val="1"/>
              <c:extLst>
                <c:ext xmlns:c15="http://schemas.microsoft.com/office/drawing/2012/chart" uri="{CE6537A1-D6FC-4f65-9D91-7224C49458BB}"/>
              </c:extLst>
            </c:dLbl>
            <c:dLbl>
              <c:idx val="4"/>
              <c:layout>
                <c:manualLayout>
                  <c:x val="-4.7222222222222332E-2"/>
                  <c:y val="8.3333333333333343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Лист2!$E$43:$E$48</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Лист2!$H$43:$H$48</c:f>
              <c:numCache>
                <c:formatCode>General</c:formatCode>
                <c:ptCount val="6"/>
                <c:pt idx="0">
                  <c:v>69.099999999999994</c:v>
                </c:pt>
                <c:pt idx="1">
                  <c:v>72.3</c:v>
                </c:pt>
                <c:pt idx="2">
                  <c:v>261</c:v>
                </c:pt>
                <c:pt idx="3">
                  <c:v>161.19999999999999</c:v>
                </c:pt>
                <c:pt idx="4">
                  <c:v>74.400000000000006</c:v>
                </c:pt>
                <c:pt idx="5">
                  <c:v>71.099999999999994</c:v>
                </c:pt>
              </c:numCache>
            </c:numRef>
          </c:val>
        </c:ser>
        <c:marker val="1"/>
        <c:axId val="350497408"/>
        <c:axId val="350511488"/>
      </c:lineChart>
      <c:catAx>
        <c:axId val="3504974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0511488"/>
        <c:crosses val="autoZero"/>
        <c:auto val="1"/>
        <c:lblAlgn val="ctr"/>
        <c:lblOffset val="100"/>
      </c:catAx>
      <c:valAx>
        <c:axId val="350511488"/>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04974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888888888888889E-2"/>
                  <c:y val="-7.8703703703703803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Лист2!$B$8:$B$10</c:f>
              <c:strCache>
                <c:ptCount val="3"/>
                <c:pt idx="0">
                  <c:v>исходно</c:v>
                </c:pt>
                <c:pt idx="1">
                  <c:v>через 3 мес.</c:v>
                </c:pt>
                <c:pt idx="2">
                  <c:v>через 6 мес.</c:v>
                </c:pt>
              </c:strCache>
            </c:strRef>
          </c:cat>
          <c:val>
            <c:numRef>
              <c:f>Лист2!$C$8:$C$10</c:f>
              <c:numCache>
                <c:formatCode>0.0</c:formatCode>
                <c:ptCount val="3"/>
                <c:pt idx="0">
                  <c:v>50.5</c:v>
                </c:pt>
                <c:pt idx="1">
                  <c:v>50</c:v>
                </c:pt>
                <c:pt idx="2">
                  <c:v>52</c:v>
                </c:pt>
              </c:numCache>
            </c:numRef>
          </c:val>
        </c:ser>
        <c:marker val="1"/>
        <c:axId val="291611008"/>
        <c:axId val="291614080"/>
      </c:lineChart>
      <c:catAx>
        <c:axId val="2916110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1614080"/>
        <c:crosses val="autoZero"/>
        <c:auto val="1"/>
        <c:lblAlgn val="ctr"/>
        <c:lblOffset val="100"/>
      </c:catAx>
      <c:valAx>
        <c:axId val="291614080"/>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161100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5555555555555558E-3"/>
                  <c:y val="-7.4074074074074153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Лист2!$B$13:$B$15</c:f>
              <c:strCache>
                <c:ptCount val="3"/>
                <c:pt idx="0">
                  <c:v>исходно</c:v>
                </c:pt>
                <c:pt idx="1">
                  <c:v>через 3 мес.</c:v>
                </c:pt>
                <c:pt idx="2">
                  <c:v>через 6 мес.</c:v>
                </c:pt>
              </c:strCache>
            </c:strRef>
          </c:cat>
          <c:val>
            <c:numRef>
              <c:f>Лист2!$C$13:$C$15</c:f>
              <c:numCache>
                <c:formatCode>0.0%</c:formatCode>
                <c:ptCount val="3"/>
                <c:pt idx="0">
                  <c:v>0.56999999999999995</c:v>
                </c:pt>
                <c:pt idx="1">
                  <c:v>0.55000000000000004</c:v>
                </c:pt>
                <c:pt idx="2">
                  <c:v>0.55000000000000004</c:v>
                </c:pt>
              </c:numCache>
            </c:numRef>
          </c:val>
        </c:ser>
        <c:marker val="1"/>
        <c:axId val="174557824"/>
        <c:axId val="174592384"/>
      </c:lineChart>
      <c:catAx>
        <c:axId val="17455782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592384"/>
        <c:crosses val="autoZero"/>
        <c:auto val="1"/>
        <c:lblAlgn val="ctr"/>
        <c:lblOffset val="100"/>
      </c:catAx>
      <c:valAx>
        <c:axId val="174592384"/>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55782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Лист2!$B$18:$B$20</c:f>
              <c:strCache>
                <c:ptCount val="3"/>
                <c:pt idx="0">
                  <c:v>исходно</c:v>
                </c:pt>
                <c:pt idx="1">
                  <c:v>через 3 мес.</c:v>
                </c:pt>
                <c:pt idx="2">
                  <c:v>через 6 мес.</c:v>
                </c:pt>
              </c:strCache>
            </c:strRef>
          </c:cat>
          <c:val>
            <c:numRef>
              <c:f>Лист2!$C$18:$C$20</c:f>
              <c:numCache>
                <c:formatCode>0.00</c:formatCode>
                <c:ptCount val="3"/>
                <c:pt idx="0">
                  <c:v>4.75</c:v>
                </c:pt>
                <c:pt idx="1">
                  <c:v>4.5999999999999996</c:v>
                </c:pt>
                <c:pt idx="2">
                  <c:v>4.7</c:v>
                </c:pt>
              </c:numCache>
            </c:numRef>
          </c:val>
        </c:ser>
        <c:marker val="1"/>
        <c:axId val="174538112"/>
        <c:axId val="174630016"/>
      </c:lineChart>
      <c:catAx>
        <c:axId val="1745381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630016"/>
        <c:crosses val="autoZero"/>
        <c:auto val="1"/>
        <c:lblAlgn val="ctr"/>
        <c:lblOffset val="100"/>
      </c:catAx>
      <c:valAx>
        <c:axId val="174630016"/>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53811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1111111111111165E-2"/>
                  <c:y val="8.7962962962963062E-2"/>
                </c:manualLayout>
              </c:layout>
              <c:showVal val="1"/>
              <c:extLst>
                <c:ext xmlns:c15="http://schemas.microsoft.com/office/drawing/2012/chart" uri="{CE6537A1-D6FC-4f65-9D91-7224C49458BB}"/>
              </c:extLst>
            </c:dLbl>
            <c:dLbl>
              <c:idx val="1"/>
              <c:layout>
                <c:manualLayout>
                  <c:x val="-5.5555555555555558E-3"/>
                  <c:y val="6.9444444444444503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Лист2!$B$22:$B$24</c:f>
              <c:strCache>
                <c:ptCount val="3"/>
                <c:pt idx="0">
                  <c:v>исходно</c:v>
                </c:pt>
                <c:pt idx="1">
                  <c:v>через 3 мес.</c:v>
                </c:pt>
                <c:pt idx="2">
                  <c:v>через 6 мес.</c:v>
                </c:pt>
              </c:strCache>
            </c:strRef>
          </c:cat>
          <c:val>
            <c:numRef>
              <c:f>Лист2!$C$22:$C$24</c:f>
              <c:numCache>
                <c:formatCode>0.0</c:formatCode>
                <c:ptCount val="3"/>
                <c:pt idx="0">
                  <c:v>92.5</c:v>
                </c:pt>
                <c:pt idx="1">
                  <c:v>113</c:v>
                </c:pt>
                <c:pt idx="2">
                  <c:v>125.5</c:v>
                </c:pt>
              </c:numCache>
            </c:numRef>
          </c:val>
        </c:ser>
        <c:marker val="1"/>
        <c:axId val="174645632"/>
        <c:axId val="174647168"/>
      </c:lineChart>
      <c:catAx>
        <c:axId val="1746456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647168"/>
        <c:crosses val="autoZero"/>
        <c:auto val="1"/>
        <c:lblAlgn val="ctr"/>
        <c:lblOffset val="100"/>
      </c:catAx>
      <c:valAx>
        <c:axId val="174647168"/>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64563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8888888888888917E-2"/>
                  <c:y val="-5.5555555555555504E-2"/>
                </c:manualLayout>
              </c:layout>
              <c:showVal val="1"/>
              <c:extLst>
                <c:ext xmlns:c15="http://schemas.microsoft.com/office/drawing/2012/chart" uri="{CE6537A1-D6FC-4f65-9D91-7224C49458BB}"/>
              </c:extLst>
            </c:dLbl>
            <c:dLbl>
              <c:idx val="1"/>
              <c:layout>
                <c:manualLayout>
                  <c:x val="-4.7222222222222263E-2"/>
                  <c:y val="8.3333333333333343E-2"/>
                </c:manualLayout>
              </c:layout>
              <c:showVal val="1"/>
              <c:extLst>
                <c:ext xmlns:c15="http://schemas.microsoft.com/office/drawing/2012/chart" uri="{CE6537A1-D6FC-4f65-9D91-7224C49458BB}"/>
              </c:extLst>
            </c:dLbl>
            <c:dLbl>
              <c:idx val="2"/>
              <c:layout>
                <c:manualLayout>
                  <c:x val="-3.3333333333333381E-2"/>
                  <c:y val="6.9444444444444503E-2"/>
                </c:manualLayout>
              </c:layout>
              <c:showVal val="1"/>
              <c:extLst>
                <c:ext xmlns:c15="http://schemas.microsoft.com/office/drawing/2012/chart" uri="{CE6537A1-D6FC-4f65-9D91-7224C49458BB}"/>
              </c:extLst>
            </c:dLbl>
            <c:dLbl>
              <c:idx val="3"/>
              <c:layout>
                <c:manualLayout>
                  <c:x val="-1.9444444444444445E-2"/>
                  <c:y val="6.9444444444444503E-2"/>
                </c:manualLayout>
              </c:layout>
              <c:showVal val="1"/>
              <c:extLst>
                <c:ext xmlns:c15="http://schemas.microsoft.com/office/drawing/2012/chart" uri="{CE6537A1-D6FC-4f65-9D91-7224C49458BB}"/>
              </c:extLst>
            </c:dLbl>
            <c:dLbl>
              <c:idx val="4"/>
              <c:layout>
                <c:manualLayout>
                  <c:x val="-2.7777777777777821E-2"/>
                  <c:y val="8.3333333333333343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Лист2!$B$27:$B$32</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Лист2!$C$27:$C$32</c:f>
              <c:numCache>
                <c:formatCode>0.00</c:formatCode>
                <c:ptCount val="6"/>
                <c:pt idx="0">
                  <c:v>6.28</c:v>
                </c:pt>
                <c:pt idx="1">
                  <c:v>5.1499999999999995</c:v>
                </c:pt>
                <c:pt idx="2">
                  <c:v>5.4300000000000024</c:v>
                </c:pt>
                <c:pt idx="3">
                  <c:v>5.92</c:v>
                </c:pt>
                <c:pt idx="4">
                  <c:v>6.13</c:v>
                </c:pt>
                <c:pt idx="5">
                  <c:v>6.17</c:v>
                </c:pt>
              </c:numCache>
            </c:numRef>
          </c:val>
        </c:ser>
        <c:marker val="1"/>
        <c:axId val="177112192"/>
        <c:axId val="177113728"/>
      </c:lineChart>
      <c:catAx>
        <c:axId val="1771121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113728"/>
        <c:crosses val="autoZero"/>
        <c:auto val="1"/>
        <c:lblAlgn val="ctr"/>
        <c:lblOffset val="100"/>
      </c:catAx>
      <c:valAx>
        <c:axId val="177113728"/>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11219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3"/>
              <c:layout>
                <c:manualLayout>
                  <c:x val="-1.0185067526416028E-16"/>
                  <c:y val="-0.11111111111111116"/>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Лист2!$E$27:$E$32</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Лист2!$F$27:$F$32</c:f>
              <c:numCache>
                <c:formatCode>0.0</c:formatCode>
                <c:ptCount val="6"/>
                <c:pt idx="0">
                  <c:v>120</c:v>
                </c:pt>
                <c:pt idx="1">
                  <c:v>112</c:v>
                </c:pt>
                <c:pt idx="2">
                  <c:v>118</c:v>
                </c:pt>
                <c:pt idx="3">
                  <c:v>114</c:v>
                </c:pt>
                <c:pt idx="4">
                  <c:v>113</c:v>
                </c:pt>
                <c:pt idx="5">
                  <c:v>118</c:v>
                </c:pt>
              </c:numCache>
            </c:numRef>
          </c:val>
        </c:ser>
        <c:marker val="1"/>
        <c:axId val="177170304"/>
        <c:axId val="177171840"/>
      </c:lineChart>
      <c:catAx>
        <c:axId val="1771703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171840"/>
        <c:crosses val="autoZero"/>
        <c:auto val="1"/>
        <c:lblAlgn val="ctr"/>
        <c:lblOffset val="100"/>
      </c:catAx>
      <c:valAx>
        <c:axId val="177171840"/>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17030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7777777777777835E-3"/>
                  <c:y val="-5.0925925925925937E-2"/>
                </c:manualLayout>
              </c:layout>
              <c:showVal val="1"/>
              <c:extLst>
                <c:ext xmlns:c15="http://schemas.microsoft.com/office/drawing/2012/chart" uri="{CE6537A1-D6FC-4f65-9D91-7224C49458BB}"/>
              </c:extLst>
            </c:dLbl>
            <c:dLbl>
              <c:idx val="1"/>
              <c:layout>
                <c:manualLayout>
                  <c:x val="-4.7222222222222263E-2"/>
                  <c:y val="6.9444444444444434E-2"/>
                </c:manualLayout>
              </c:layout>
              <c:showVal val="1"/>
              <c:extLst>
                <c:ext xmlns:c15="http://schemas.microsoft.com/office/drawing/2012/chart" uri="{CE6537A1-D6FC-4f65-9D91-7224C49458BB}"/>
              </c:extLst>
            </c:dLbl>
            <c:dLbl>
              <c:idx val="2"/>
              <c:layout>
                <c:manualLayout>
                  <c:x val="-1.1111111111111221E-2"/>
                  <c:y val="-9.7222222222222265E-2"/>
                </c:manualLayout>
              </c:layout>
              <c:showVal val="1"/>
              <c:extLst>
                <c:ext xmlns:c15="http://schemas.microsoft.com/office/drawing/2012/chart" uri="{CE6537A1-D6FC-4f65-9D91-7224C49458BB}"/>
              </c:extLst>
            </c:dLbl>
            <c:dLbl>
              <c:idx val="4"/>
              <c:layout>
                <c:manualLayout>
                  <c:x val="-3.888888888888889E-2"/>
                  <c:y val="-0.10648148148148157"/>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Лист2!$H$27:$H$32</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Лист2!$I$27:$I$32</c:f>
              <c:numCache>
                <c:formatCode>General</c:formatCode>
                <c:ptCount val="6"/>
                <c:pt idx="0">
                  <c:v>21.5</c:v>
                </c:pt>
                <c:pt idx="1">
                  <c:v>17.3</c:v>
                </c:pt>
                <c:pt idx="2">
                  <c:v>16.100000000000001</c:v>
                </c:pt>
                <c:pt idx="3">
                  <c:v>12.3</c:v>
                </c:pt>
                <c:pt idx="4">
                  <c:v>17.7</c:v>
                </c:pt>
                <c:pt idx="5">
                  <c:v>19.2</c:v>
                </c:pt>
              </c:numCache>
            </c:numRef>
          </c:val>
        </c:ser>
        <c:marker val="1"/>
        <c:axId val="177191552"/>
        <c:axId val="290431360"/>
      </c:lineChart>
      <c:catAx>
        <c:axId val="1771915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0431360"/>
        <c:crosses val="autoZero"/>
        <c:auto val="1"/>
        <c:lblAlgn val="ctr"/>
        <c:lblOffset val="100"/>
      </c:catAx>
      <c:valAx>
        <c:axId val="2904313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19155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layout>
                <c:manualLayout>
                  <c:x val="-5.5555555555555566E-2"/>
                  <c:y val="9.2592592592592671E-2"/>
                </c:manualLayout>
              </c:layout>
              <c:showVal val="1"/>
              <c:extLst>
                <c:ext xmlns:c15="http://schemas.microsoft.com/office/drawing/2012/chart" uri="{CE6537A1-D6FC-4f65-9D91-7224C49458BB}"/>
              </c:extLst>
            </c:dLbl>
            <c:dLbl>
              <c:idx val="3"/>
              <c:layout>
                <c:manualLayout>
                  <c:x val="-1.9444444444444445E-2"/>
                  <c:y val="-0.1111111111111111"/>
                </c:manualLayout>
              </c:layout>
              <c:showVal val="1"/>
              <c:extLst>
                <c:ext xmlns:c15="http://schemas.microsoft.com/office/drawing/2012/chart" uri="{CE6537A1-D6FC-4f65-9D91-7224C49458BB}"/>
              </c:extLst>
            </c:dLbl>
            <c:dLbl>
              <c:idx val="4"/>
              <c:layout>
                <c:manualLayout>
                  <c:x val="-3.3333333333333444E-2"/>
                  <c:y val="8.3333333333333343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Лист2!$K$27:$K$32</c:f>
              <c:strCache>
                <c:ptCount val="6"/>
                <c:pt idx="0">
                  <c:v>исходно</c:v>
                </c:pt>
                <c:pt idx="1">
                  <c:v>1 день после операции</c:v>
                </c:pt>
                <c:pt idx="2">
                  <c:v>14 дней после операции</c:v>
                </c:pt>
                <c:pt idx="3">
                  <c:v>1 месяц после операции</c:v>
                </c:pt>
                <c:pt idx="4">
                  <c:v>3 месяца после операции</c:v>
                </c:pt>
                <c:pt idx="5">
                  <c:v>6 месяцев после операции</c:v>
                </c:pt>
              </c:strCache>
            </c:strRef>
          </c:cat>
          <c:val>
            <c:numRef>
              <c:f>Лист2!$L$27:$L$32</c:f>
              <c:numCache>
                <c:formatCode>0.0</c:formatCode>
                <c:ptCount val="6"/>
                <c:pt idx="0">
                  <c:v>317</c:v>
                </c:pt>
                <c:pt idx="1">
                  <c:v>417</c:v>
                </c:pt>
                <c:pt idx="2">
                  <c:v>336</c:v>
                </c:pt>
                <c:pt idx="3">
                  <c:v>323</c:v>
                </c:pt>
                <c:pt idx="4">
                  <c:v>316</c:v>
                </c:pt>
                <c:pt idx="5">
                  <c:v>310</c:v>
                </c:pt>
              </c:numCache>
            </c:numRef>
          </c:val>
        </c:ser>
        <c:marker val="1"/>
        <c:axId val="296111488"/>
        <c:axId val="296113280"/>
      </c:lineChart>
      <c:catAx>
        <c:axId val="29611148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113280"/>
        <c:crosses val="autoZero"/>
        <c:auto val="1"/>
        <c:lblAlgn val="ctr"/>
        <c:lblOffset val="100"/>
      </c:catAx>
      <c:valAx>
        <c:axId val="296113280"/>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11148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115</Pages>
  <Words>23455</Words>
  <Characters>133698</Characters>
  <Application>Microsoft Office Word</Application>
  <DocSecurity>0</DocSecurity>
  <Lines>1114</Lines>
  <Paragraphs>313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156840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Автор</dc:creator>
  <cp:lastModifiedBy>Пользователь Windows</cp:lastModifiedBy>
  <cp:revision>2</cp:revision>
  <dcterms:created xsi:type="dcterms:W3CDTF">2021-03-19T06:24:00Z</dcterms:created>
  <dcterms:modified xsi:type="dcterms:W3CDTF">2021-03-19T06:24:00Z</dcterms:modified>
</cp:coreProperties>
</file>